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190FD" w14:textId="7FC11BE0" w:rsidR="00DF41CA" w:rsidRPr="00DF41CA" w:rsidRDefault="00DF41CA" w:rsidP="00DF41CA">
      <w:pPr>
        <w:spacing w:before="120" w:after="120"/>
        <w:jc w:val="both"/>
        <w:rPr>
          <w:rFonts w:ascii="Poppins" w:hAnsi="Poppins" w:cs="Poppins"/>
          <w:b/>
          <w:bCs/>
          <w:color w:val="E26B0A"/>
          <w:sz w:val="28"/>
          <w:szCs w:val="28"/>
          <w:lang w:val="hu-HU"/>
        </w:rPr>
      </w:pPr>
      <w:r w:rsidRPr="00DF41CA">
        <w:rPr>
          <w:rFonts w:ascii="Poppins" w:hAnsi="Poppins" w:cs="Poppins"/>
          <w:b/>
          <w:bCs/>
          <w:color w:val="E26B0A"/>
          <w:sz w:val="28"/>
          <w:szCs w:val="28"/>
          <w:lang w:val="hu-HU"/>
        </w:rPr>
        <w:t xml:space="preserve">A GKI KONJUNKTÚRA INDEXE MÁRCIUSBAN ENYHÉN CSÖKKENT, </w:t>
      </w:r>
      <w:r w:rsidRPr="00DF41CA">
        <w:rPr>
          <w:rFonts w:ascii="Poppins" w:hAnsi="Poppins" w:cs="Poppins"/>
          <w:b/>
          <w:bCs/>
          <w:color w:val="E26B0A"/>
          <w:sz w:val="28"/>
          <w:szCs w:val="28"/>
          <w:lang w:val="hu-HU"/>
        </w:rPr>
        <w:br/>
        <w:t>A 30 ÉVES ÁTLAGNÁL KEDVEZŐBB FOGYASZTÓI KILÁTÁSOK ELLENÉRE</w:t>
      </w:r>
    </w:p>
    <w:p w14:paraId="72C17C63" w14:textId="77777777" w:rsidR="00DF41CA" w:rsidRPr="00DF41CA" w:rsidRDefault="00DF41CA" w:rsidP="00DF41CA">
      <w:pPr>
        <w:spacing w:before="240" w:after="240"/>
        <w:jc w:val="both"/>
        <w:rPr>
          <w:rFonts w:ascii="Poppins" w:hAnsi="Poppins" w:cs="Poppins"/>
          <w:b/>
          <w:lang w:val="hu-HU"/>
        </w:rPr>
      </w:pPr>
      <w:r w:rsidRPr="00DF41CA">
        <w:rPr>
          <w:rFonts w:ascii="Poppins" w:hAnsi="Poppins" w:cs="Poppins"/>
          <w:b/>
          <w:lang w:val="hu-HU"/>
        </w:rPr>
        <w:t xml:space="preserve">A GKI Gazdaságkutató Zrt. – a EU támogatásával és módszertanával elvégzett – felmérése szerint márciusban a fogyasztói bizalmi index enyhén emelkedett, míg az üzleti szféra kilátásai kismértékben romlottak februárhoz képest. Így a várakozások összefoglaló jelzőszáma, a GKI konjunktúra indexe minimális mértékben csökkent. A fogyasztói index márciusban e mutató hosszú távú átlagánál kedvezőbb kilátásokra utal, az üzleti index értéke viszont érezhetően elmarad attól. A vállalkozások foglalkoztatási hajlandósága ebben a hónapban gyakorlatilag nem változott, az értékesítési árak várható alakulására vonatkozó kilátás enyhén emelkedett. A válaszadó cégek az idei harmadik hónapban a gazdálkodási környezetet kevésbé kiszámíthatónak érezték, mint februárban. </w:t>
      </w:r>
    </w:p>
    <w:p w14:paraId="2E0A37AD" w14:textId="77777777" w:rsidR="00DF41CA" w:rsidRPr="00DF41CA" w:rsidRDefault="00DF41CA" w:rsidP="00DF41CA">
      <w:pPr>
        <w:spacing w:before="240" w:after="240" w:line="259" w:lineRule="auto"/>
        <w:jc w:val="center"/>
        <w:rPr>
          <w:rFonts w:ascii="Poppins" w:hAnsi="Poppins" w:cs="Poppins"/>
          <w:b/>
          <w:bCs/>
          <w:lang w:val="hu-HU"/>
        </w:rPr>
      </w:pPr>
      <w:r w:rsidRPr="00DF41CA">
        <w:rPr>
          <w:rFonts w:ascii="Poppins" w:hAnsi="Poppins" w:cs="Poppins"/>
          <w:b/>
          <w:bCs/>
          <w:lang w:val="hu-HU"/>
        </w:rPr>
        <w:t>A GKI konjunktúraindexe és összetevői, 2022-2026</w:t>
      </w:r>
    </w:p>
    <w:p w14:paraId="12EBE3B6" w14:textId="04BF2CC1" w:rsidR="00166FAC" w:rsidRPr="00166FAC" w:rsidRDefault="00DF41CA" w:rsidP="00DF41CA">
      <w:pPr>
        <w:spacing w:before="120" w:after="240" w:line="259" w:lineRule="auto"/>
        <w:jc w:val="center"/>
        <w:rPr>
          <w:rFonts w:ascii="Poppins" w:hAnsi="Poppins" w:cs="Poppins"/>
          <w:lang w:val="hu-HU"/>
        </w:rPr>
      </w:pPr>
      <w:r w:rsidRPr="007918AD">
        <w:rPr>
          <w:noProof/>
        </w:rPr>
        <w:drawing>
          <wp:inline distT="0" distB="0" distL="0" distR="0" wp14:anchorId="3524A255" wp14:editId="5AAE7E7D">
            <wp:extent cx="4384964" cy="2864972"/>
            <wp:effectExtent l="0" t="0" r="0" b="0"/>
            <wp:docPr id="149843455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43455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1817" cy="287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AAF55" w14:textId="7376716D" w:rsidR="00DF41CA" w:rsidRDefault="00DF41CA" w:rsidP="00DF41CA">
      <w:pPr>
        <w:spacing w:before="120" w:after="120"/>
        <w:rPr>
          <w:rFonts w:ascii="Poppins" w:hAnsi="Poppins" w:cs="Poppins"/>
          <w:bCs/>
        </w:rPr>
      </w:pPr>
      <w:r>
        <w:rPr>
          <w:rFonts w:ascii="Poppins" w:hAnsi="Poppins" w:cs="Poppins"/>
          <w:bCs/>
        </w:rPr>
        <w:t xml:space="preserve">A </w:t>
      </w:r>
      <w:r w:rsidRPr="004523A6">
        <w:rPr>
          <w:rFonts w:ascii="Poppins" w:hAnsi="Poppins" w:cs="Poppins"/>
          <w:b/>
        </w:rPr>
        <w:t>GKI konjunktúraindexe</w:t>
      </w:r>
      <w:r>
        <w:rPr>
          <w:rFonts w:ascii="Poppins" w:hAnsi="Poppins" w:cs="Poppins"/>
          <w:bCs/>
        </w:rPr>
        <w:t xml:space="preserve"> az energiaválság következtében 2022 októberben érte el lokális mélypontját (-22). Ezután egy kissé hullámzó, de alapvetően emelkedő trend következett 2024 júniusáig, majd egy ereszkedő szakasszal az újabb lokális mélypontot 2025 júliusában érte el. 2025 második félévében enyhe növekedést </w:t>
      </w:r>
      <w:r>
        <w:rPr>
          <w:rFonts w:ascii="Poppins" w:hAnsi="Poppins" w:cs="Poppins"/>
          <w:bCs/>
        </w:rPr>
        <w:lastRenderedPageBreak/>
        <w:t>láthattunk,</w:t>
      </w:r>
      <w:r w:rsidDel="00DA605B">
        <w:rPr>
          <w:rFonts w:ascii="Poppins" w:hAnsi="Poppins" w:cs="Poppins"/>
          <w:bCs/>
        </w:rPr>
        <w:t xml:space="preserve"> </w:t>
      </w:r>
      <w:r w:rsidRPr="00BB7588">
        <w:rPr>
          <w:rFonts w:ascii="Poppins" w:hAnsi="Poppins" w:cs="Poppins"/>
          <w:bCs/>
        </w:rPr>
        <w:t xml:space="preserve">majd a második hónapban picit emelkedett, </w:t>
      </w:r>
      <w:r w:rsidRPr="00973AE8">
        <w:rPr>
          <w:rFonts w:ascii="Poppins" w:hAnsi="Poppins" w:cs="Poppins"/>
          <w:b/>
        </w:rPr>
        <w:t>a harmadikban kissé (</w:t>
      </w:r>
      <w:r w:rsidRPr="00973AE8">
        <w:rPr>
          <w:rFonts w:ascii="Poppins" w:hAnsi="Poppins" w:cs="Poppins"/>
          <w:b/>
        </w:rPr>
        <w:t>febr</w:t>
      </w:r>
      <w:r>
        <w:rPr>
          <w:rFonts w:ascii="Poppins" w:hAnsi="Poppins" w:cs="Poppins"/>
          <w:b/>
        </w:rPr>
        <w:t>u</w:t>
      </w:r>
      <w:r w:rsidRPr="00973AE8">
        <w:rPr>
          <w:rFonts w:ascii="Poppins" w:hAnsi="Poppins" w:cs="Poppins"/>
          <w:b/>
        </w:rPr>
        <w:t>árhoz</w:t>
      </w:r>
      <w:r w:rsidRPr="00973AE8">
        <w:rPr>
          <w:rFonts w:ascii="Poppins" w:hAnsi="Poppins" w:cs="Poppins"/>
          <w:b/>
        </w:rPr>
        <w:t xml:space="preserve"> képest 0,4 ponttal)</w:t>
      </w:r>
      <w:r>
        <w:rPr>
          <w:rFonts w:ascii="Poppins" w:hAnsi="Poppins" w:cs="Poppins"/>
          <w:b/>
        </w:rPr>
        <w:t xml:space="preserve"> csökkenve </w:t>
      </w:r>
      <w:r w:rsidRPr="00462591">
        <w:rPr>
          <w:rFonts w:ascii="Poppins" w:hAnsi="Poppins" w:cs="Poppins"/>
          <w:bCs/>
        </w:rPr>
        <w:t>érte el</w:t>
      </w:r>
      <w:r>
        <w:rPr>
          <w:rFonts w:ascii="Poppins" w:hAnsi="Poppins" w:cs="Poppins"/>
          <w:b/>
        </w:rPr>
        <w:t xml:space="preserve"> </w:t>
      </w:r>
      <w:r>
        <w:rPr>
          <w:rFonts w:ascii="Poppins" w:hAnsi="Poppins" w:cs="Poppins"/>
          <w:bCs/>
        </w:rPr>
        <w:t>aktuális értékét (-14).</w:t>
      </w:r>
    </w:p>
    <w:p w14:paraId="11C79180" w14:textId="77777777" w:rsidR="00DF41CA" w:rsidRDefault="00DF41CA" w:rsidP="00DF41CA">
      <w:pPr>
        <w:spacing w:before="120" w:after="120"/>
        <w:jc w:val="both"/>
        <w:rPr>
          <w:rFonts w:ascii="Poppins" w:hAnsi="Poppins" w:cs="Poppins"/>
          <w:bCs/>
        </w:rPr>
      </w:pPr>
      <w:r w:rsidRPr="007F2653">
        <w:rPr>
          <w:rFonts w:ascii="Poppins" w:hAnsi="Poppins" w:cs="Poppins"/>
          <w:bCs/>
        </w:rPr>
        <w:t xml:space="preserve">A </w:t>
      </w:r>
      <w:r w:rsidRPr="007F2653">
        <w:rPr>
          <w:rFonts w:ascii="Poppins" w:hAnsi="Poppins" w:cs="Poppins"/>
          <w:b/>
        </w:rPr>
        <w:t>GKI üzleti bizalmi indexe</w:t>
      </w:r>
      <w:r w:rsidRPr="007F2653">
        <w:rPr>
          <w:rFonts w:ascii="Poppins" w:hAnsi="Poppins" w:cs="Poppins"/>
          <w:bCs/>
        </w:rPr>
        <w:t xml:space="preserve"> 2025 decemberében tizennyolc havi csúcsára emelkedett. Januárban az index 4 pontot esett, majd februárban és márciusban alig változott: a második hónapban picit emelkedett, a harmadikban kissé csökkent. </w:t>
      </w:r>
    </w:p>
    <w:p w14:paraId="302587A2" w14:textId="77777777" w:rsidR="00DF41CA" w:rsidRDefault="00DF41CA" w:rsidP="00DF41CA">
      <w:pPr>
        <w:spacing w:before="120" w:after="120"/>
        <w:jc w:val="both"/>
        <w:rPr>
          <w:rFonts w:ascii="Poppins" w:hAnsi="Poppins" w:cs="Poppins"/>
          <w:bCs/>
        </w:rPr>
      </w:pPr>
      <w:r w:rsidRPr="00413FE8">
        <w:rPr>
          <w:rFonts w:ascii="Poppins" w:hAnsi="Poppins" w:cs="Poppins"/>
          <w:bCs/>
        </w:rPr>
        <w:t>Az</w:t>
      </w:r>
      <w:r>
        <w:rPr>
          <w:rFonts w:ascii="Poppins" w:hAnsi="Poppins" w:cs="Poppins"/>
          <w:bCs/>
        </w:rPr>
        <w:t xml:space="preserve"> ágazatok közül az</w:t>
      </w:r>
      <w:r w:rsidRPr="00413FE8">
        <w:rPr>
          <w:rFonts w:ascii="Poppins" w:hAnsi="Poppins" w:cs="Poppins"/>
          <w:bCs/>
        </w:rPr>
        <w:t xml:space="preserve"> </w:t>
      </w:r>
      <w:r w:rsidRPr="00E82A27">
        <w:rPr>
          <w:rFonts w:ascii="Poppins" w:hAnsi="Poppins" w:cs="Poppins"/>
          <w:b/>
        </w:rPr>
        <w:t>ipari bizalmi index</w:t>
      </w:r>
      <w:r>
        <w:rPr>
          <w:rFonts w:ascii="Poppins" w:hAnsi="Poppins" w:cs="Poppins"/>
          <w:bCs/>
        </w:rPr>
        <w:t xml:space="preserve"> 2022 októbere óta hosszú távú átlaga alatt alakul.</w:t>
      </w:r>
      <w:r w:rsidRPr="00413FE8">
        <w:rPr>
          <w:rFonts w:ascii="Poppins" w:hAnsi="Poppins" w:cs="Poppins"/>
          <w:bCs/>
        </w:rPr>
        <w:t xml:space="preserve"> </w:t>
      </w:r>
      <w:r>
        <w:rPr>
          <w:rFonts w:ascii="Poppins" w:hAnsi="Poppins" w:cs="Poppins"/>
          <w:bCs/>
        </w:rPr>
        <w:t xml:space="preserve">Lokális mélypontját 2025 januárjában érte el. Azóta </w:t>
      </w:r>
      <w:r w:rsidRPr="00413FE8">
        <w:rPr>
          <w:rFonts w:ascii="Poppins" w:hAnsi="Poppins" w:cs="Poppins"/>
          <w:bCs/>
        </w:rPr>
        <w:t xml:space="preserve">„fűrészfogszerű” pályát ír le, </w:t>
      </w:r>
      <w:r>
        <w:rPr>
          <w:rFonts w:ascii="Poppins" w:hAnsi="Poppins" w:cs="Poppins"/>
          <w:bCs/>
        </w:rPr>
        <w:t>enyhén emelkedő tendenciával</w:t>
      </w:r>
      <w:r w:rsidRPr="00413FE8">
        <w:rPr>
          <w:rFonts w:ascii="Poppins" w:hAnsi="Poppins" w:cs="Poppins"/>
          <w:bCs/>
        </w:rPr>
        <w:t xml:space="preserve">. E mutató decemberben huszonegy havi csúcsán állt, majd januárban 5 ponttal apadt, februárban 2 ponttal emelkedett, majd </w:t>
      </w:r>
      <w:r w:rsidRPr="00E82A27">
        <w:rPr>
          <w:rFonts w:ascii="Poppins" w:hAnsi="Poppins" w:cs="Poppins"/>
          <w:b/>
        </w:rPr>
        <w:t>márciusban csaknem 2 ponttal csökkent</w:t>
      </w:r>
      <w:r>
        <w:rPr>
          <w:rFonts w:ascii="Poppins" w:hAnsi="Poppins" w:cs="Poppins"/>
          <w:b/>
        </w:rPr>
        <w:t xml:space="preserve"> havi alapon</w:t>
      </w:r>
      <w:r w:rsidRPr="00413FE8">
        <w:rPr>
          <w:rFonts w:ascii="Poppins" w:hAnsi="Poppins" w:cs="Poppins"/>
          <w:bCs/>
        </w:rPr>
        <w:t>.</w:t>
      </w:r>
    </w:p>
    <w:p w14:paraId="2AD12B2B" w14:textId="77777777" w:rsidR="00DF41CA" w:rsidRDefault="00DF41CA" w:rsidP="00DF41CA">
      <w:pPr>
        <w:spacing w:before="120" w:after="120"/>
        <w:jc w:val="both"/>
        <w:rPr>
          <w:rFonts w:ascii="Poppins" w:hAnsi="Poppins" w:cs="Poppins"/>
          <w:bCs/>
        </w:rPr>
      </w:pPr>
      <w:r w:rsidRPr="00595773">
        <w:rPr>
          <w:rFonts w:ascii="Poppins" w:hAnsi="Poppins" w:cs="Poppins"/>
          <w:bCs/>
        </w:rPr>
        <w:t xml:space="preserve">A </w:t>
      </w:r>
      <w:r w:rsidRPr="00214B71">
        <w:rPr>
          <w:rFonts w:ascii="Poppins" w:hAnsi="Poppins" w:cs="Poppins"/>
          <w:b/>
        </w:rPr>
        <w:t>kereskedelmi bizalmi index</w:t>
      </w:r>
      <w:r w:rsidRPr="00595773">
        <w:rPr>
          <w:rFonts w:ascii="Poppins" w:hAnsi="Poppins" w:cs="Poppins"/>
          <w:bCs/>
        </w:rPr>
        <w:t xml:space="preserve"> 2025 novemberben és decemberben volt a csúcson. Januárban csaknem 3 pontos csökkenés</w:t>
      </w:r>
      <w:r>
        <w:rPr>
          <w:rFonts w:ascii="Poppins" w:hAnsi="Poppins" w:cs="Poppins"/>
          <w:bCs/>
        </w:rPr>
        <w:t>,</w:t>
      </w:r>
      <w:r w:rsidRPr="00595773">
        <w:rPr>
          <w:rFonts w:ascii="Poppins" w:hAnsi="Poppins" w:cs="Poppins"/>
          <w:bCs/>
        </w:rPr>
        <w:t xml:space="preserve"> majd februárban stagnálás következett be. </w:t>
      </w:r>
      <w:r w:rsidRPr="00214B71">
        <w:rPr>
          <w:rFonts w:ascii="Poppins" w:hAnsi="Poppins" w:cs="Poppins"/>
          <w:b/>
        </w:rPr>
        <w:t>Márciusban viszont havi összevetésben 2 ponttal nőtt</w:t>
      </w:r>
      <w:r w:rsidRPr="00595773">
        <w:rPr>
          <w:rFonts w:ascii="Poppins" w:hAnsi="Poppins" w:cs="Poppins"/>
          <w:bCs/>
        </w:rPr>
        <w:t xml:space="preserve"> e mutató értéke.</w:t>
      </w:r>
      <w:r>
        <w:rPr>
          <w:rFonts w:ascii="Poppins" w:hAnsi="Poppins" w:cs="Poppins"/>
          <w:bCs/>
        </w:rPr>
        <w:t xml:space="preserve"> A hosszú távú átlagtól azonban így is jelentősen elmarad.</w:t>
      </w:r>
    </w:p>
    <w:p w14:paraId="3571D7E1" w14:textId="770F157C" w:rsidR="00DF41CA" w:rsidRDefault="00DF41CA" w:rsidP="00DF41CA">
      <w:pPr>
        <w:spacing w:before="120" w:after="120"/>
        <w:jc w:val="both"/>
        <w:rPr>
          <w:rFonts w:ascii="Poppins" w:hAnsi="Poppins" w:cs="Poppins"/>
          <w:bCs/>
        </w:rPr>
      </w:pPr>
      <w:r w:rsidRPr="00F01284">
        <w:rPr>
          <w:rFonts w:ascii="Poppins" w:hAnsi="Poppins" w:cs="Poppins"/>
          <w:bCs/>
        </w:rPr>
        <w:t xml:space="preserve">Az </w:t>
      </w:r>
      <w:r w:rsidRPr="00942D71">
        <w:rPr>
          <w:rFonts w:ascii="Poppins" w:hAnsi="Poppins" w:cs="Poppins"/>
          <w:b/>
        </w:rPr>
        <w:t>építőipari bizalmi</w:t>
      </w:r>
      <w:r>
        <w:rPr>
          <w:rFonts w:ascii="Poppins" w:hAnsi="Poppins" w:cs="Poppins"/>
          <w:b/>
        </w:rPr>
        <w:t xml:space="preserve"> index</w:t>
      </w:r>
      <w:r w:rsidRPr="00F01284">
        <w:rPr>
          <w:rFonts w:ascii="Poppins" w:hAnsi="Poppins" w:cs="Poppins"/>
          <w:bCs/>
        </w:rPr>
        <w:t xml:space="preserve"> tavaly augusztus-november között fokozatosan emelkedett, majd decemberben 3 ponttal csökkent. Januárban és februárban is 3-3 ponttal emelkedett. </w:t>
      </w:r>
      <w:r w:rsidRPr="002C0473">
        <w:rPr>
          <w:rFonts w:ascii="Poppins" w:hAnsi="Poppins" w:cs="Poppins"/>
          <w:b/>
        </w:rPr>
        <w:t>Márciusban viszont e mutató havi alapon ismét mérséklődött</w:t>
      </w:r>
      <w:r w:rsidRPr="00F01284">
        <w:rPr>
          <w:rFonts w:ascii="Poppins" w:hAnsi="Poppins" w:cs="Poppins"/>
          <w:bCs/>
        </w:rPr>
        <w:t>, ezúttal csaknem 5 ponttal.</w:t>
      </w:r>
      <w:r>
        <w:rPr>
          <w:rFonts w:ascii="Poppins" w:hAnsi="Poppins" w:cs="Poppins"/>
          <w:bCs/>
        </w:rPr>
        <w:t xml:space="preserve"> Ez a mutató is érezhetően elmarad a hosszú távú átlagától.</w:t>
      </w:r>
    </w:p>
    <w:p w14:paraId="41947310" w14:textId="6C98F758" w:rsidR="00DF41CA" w:rsidRDefault="00DF41CA" w:rsidP="00DF41CA">
      <w:pPr>
        <w:rPr>
          <w:rFonts w:ascii="Poppins" w:hAnsi="Poppins" w:cs="Poppins"/>
          <w:bCs/>
        </w:rPr>
      </w:pPr>
      <w:r>
        <w:rPr>
          <w:rFonts w:ascii="Poppins" w:hAnsi="Poppins" w:cs="Poppins"/>
          <w:bCs/>
        </w:rPr>
        <w:br w:type="page"/>
      </w:r>
    </w:p>
    <w:p w14:paraId="6B73A29C" w14:textId="77777777" w:rsidR="00DF41CA" w:rsidRPr="003A5292" w:rsidRDefault="00DF41CA" w:rsidP="00DF41CA">
      <w:pPr>
        <w:spacing w:before="120" w:after="120" w:line="259" w:lineRule="auto"/>
        <w:jc w:val="center"/>
        <w:rPr>
          <w:rFonts w:ascii="Poppins" w:hAnsi="Poppins" w:cs="Poppins"/>
          <w:b/>
        </w:rPr>
      </w:pPr>
      <w:r w:rsidRPr="003A5292">
        <w:rPr>
          <w:rFonts w:ascii="Poppins" w:hAnsi="Poppins" w:cs="Poppins"/>
          <w:b/>
        </w:rPr>
        <w:lastRenderedPageBreak/>
        <w:t>Ágazati bizalmi indexek, 2022-2026</w:t>
      </w:r>
    </w:p>
    <w:p w14:paraId="4E322CA3" w14:textId="77777777" w:rsidR="00DF41CA" w:rsidRDefault="00DF41CA" w:rsidP="00DF41CA">
      <w:pPr>
        <w:spacing w:before="120" w:after="240" w:line="259" w:lineRule="auto"/>
        <w:jc w:val="center"/>
        <w:rPr>
          <w:rFonts w:ascii="Poppins" w:hAnsi="Poppins" w:cs="Poppins"/>
          <w:bCs/>
        </w:rPr>
      </w:pPr>
      <w:r w:rsidRPr="00AC16F5">
        <w:rPr>
          <w:noProof/>
        </w:rPr>
        <w:drawing>
          <wp:inline distT="0" distB="0" distL="0" distR="0" wp14:anchorId="026EF9BE" wp14:editId="3BB5F253">
            <wp:extent cx="4350327" cy="2842341"/>
            <wp:effectExtent l="0" t="0" r="0" b="0"/>
            <wp:docPr id="119547029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47029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73379" cy="2857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C6F65" w14:textId="0DC2BE78" w:rsidR="00DF41CA" w:rsidRDefault="00DF41CA" w:rsidP="00DF41CA">
      <w:pPr>
        <w:spacing w:before="120" w:after="120"/>
        <w:jc w:val="both"/>
        <w:rPr>
          <w:rFonts w:ascii="Poppins" w:hAnsi="Poppins" w:cs="Poppins"/>
          <w:bCs/>
        </w:rPr>
      </w:pPr>
      <w:r w:rsidRPr="00765896">
        <w:rPr>
          <w:rFonts w:ascii="Poppins" w:hAnsi="Poppins" w:cs="Poppins"/>
          <w:bCs/>
        </w:rPr>
        <w:t xml:space="preserve">Az </w:t>
      </w:r>
      <w:r w:rsidRPr="00F77A70">
        <w:rPr>
          <w:rFonts w:ascii="Poppins" w:hAnsi="Poppins" w:cs="Poppins"/>
          <w:b/>
        </w:rPr>
        <w:t>üzleti szolgáltatók bizalmi indexe</w:t>
      </w:r>
      <w:r w:rsidRPr="00765896">
        <w:rPr>
          <w:rFonts w:ascii="Poppins" w:hAnsi="Poppins" w:cs="Poppins"/>
          <w:bCs/>
        </w:rPr>
        <w:t xml:space="preserve"> tavaly augusztusban 31 havi mélypontra esett, majd a</w:t>
      </w:r>
      <w:r>
        <w:rPr>
          <w:rFonts w:ascii="Poppins" w:hAnsi="Poppins" w:cs="Poppins"/>
          <w:bCs/>
        </w:rPr>
        <w:t>z</w:t>
      </w:r>
      <w:r w:rsidRPr="00765896">
        <w:rPr>
          <w:rFonts w:ascii="Poppins" w:hAnsi="Poppins" w:cs="Poppins"/>
          <w:bCs/>
        </w:rPr>
        <w:t xml:space="preserve"> év hátralévő részében hónapról-hónapra emelkedett. Az idei </w:t>
      </w:r>
      <w:r>
        <w:rPr>
          <w:rFonts w:ascii="Poppins" w:hAnsi="Poppins" w:cs="Poppins"/>
          <w:bCs/>
        </w:rPr>
        <w:t xml:space="preserve">év </w:t>
      </w:r>
      <w:r w:rsidRPr="00765896">
        <w:rPr>
          <w:rFonts w:ascii="Poppins" w:hAnsi="Poppins" w:cs="Poppins"/>
          <w:bCs/>
        </w:rPr>
        <w:t>első két hónapja csökkenést</w:t>
      </w:r>
      <w:r>
        <w:rPr>
          <w:rFonts w:ascii="Poppins" w:hAnsi="Poppins" w:cs="Poppins"/>
          <w:bCs/>
        </w:rPr>
        <w:t xml:space="preserve"> hozott</w:t>
      </w:r>
      <w:r w:rsidRPr="00765896">
        <w:rPr>
          <w:rFonts w:ascii="Poppins" w:hAnsi="Poppins" w:cs="Poppins"/>
          <w:bCs/>
        </w:rPr>
        <w:t xml:space="preserve">: januárban az index 3 ponttal, februárban 4 ponttal </w:t>
      </w:r>
      <w:r>
        <w:rPr>
          <w:rFonts w:ascii="Poppins" w:hAnsi="Poppins" w:cs="Poppins"/>
          <w:bCs/>
        </w:rPr>
        <w:t>apad</w:t>
      </w:r>
      <w:r w:rsidRPr="00765896">
        <w:rPr>
          <w:rFonts w:ascii="Poppins" w:hAnsi="Poppins" w:cs="Poppins"/>
          <w:bCs/>
        </w:rPr>
        <w:t xml:space="preserve">t havi alapon. </w:t>
      </w:r>
      <w:r w:rsidRPr="002602FF">
        <w:rPr>
          <w:rFonts w:ascii="Poppins" w:hAnsi="Poppins" w:cs="Poppins"/>
          <w:b/>
        </w:rPr>
        <w:t>Márciusban viszont pozitív korrekció történt</w:t>
      </w:r>
      <w:r w:rsidRPr="00765896">
        <w:rPr>
          <w:rFonts w:ascii="Poppins" w:hAnsi="Poppins" w:cs="Poppins"/>
          <w:bCs/>
        </w:rPr>
        <w:t>, az index 2 ponttal emelkedett.</w:t>
      </w:r>
      <w:r>
        <w:rPr>
          <w:rFonts w:ascii="Poppins" w:hAnsi="Poppins" w:cs="Poppins"/>
          <w:bCs/>
        </w:rPr>
        <w:t xml:space="preserve"> De ez sem volt elég a hosszú távú átlaghoz való visszatéréshez.</w:t>
      </w:r>
    </w:p>
    <w:p w14:paraId="1D6A4558" w14:textId="77777777" w:rsidR="00DF41CA" w:rsidRPr="0053460D" w:rsidRDefault="00DF41CA" w:rsidP="00DF41CA">
      <w:pPr>
        <w:spacing w:before="120" w:after="120" w:line="259" w:lineRule="auto"/>
        <w:jc w:val="center"/>
        <w:rPr>
          <w:rFonts w:ascii="Poppins" w:hAnsi="Poppins" w:cs="Poppins"/>
          <w:b/>
        </w:rPr>
      </w:pPr>
      <w:r w:rsidRPr="0053460D">
        <w:rPr>
          <w:rFonts w:ascii="Poppins" w:hAnsi="Poppins" w:cs="Poppins"/>
          <w:b/>
        </w:rPr>
        <w:t>A GKI foglalkoztatási és ár</w:t>
      </w:r>
      <w:r>
        <w:rPr>
          <w:rFonts w:ascii="Poppins" w:hAnsi="Poppins" w:cs="Poppins"/>
          <w:b/>
        </w:rPr>
        <w:t>-</w:t>
      </w:r>
      <w:r w:rsidRPr="0053460D">
        <w:rPr>
          <w:rFonts w:ascii="Poppins" w:hAnsi="Poppins" w:cs="Poppins"/>
          <w:b/>
        </w:rPr>
        <w:t>indikátora</w:t>
      </w:r>
    </w:p>
    <w:p w14:paraId="10F2F7AB" w14:textId="7083DD03" w:rsidR="00DF41CA" w:rsidRPr="0034564E" w:rsidRDefault="00DF41CA" w:rsidP="00DF41CA">
      <w:pPr>
        <w:spacing w:before="120" w:after="240" w:line="259" w:lineRule="auto"/>
        <w:jc w:val="center"/>
        <w:rPr>
          <w:rFonts w:ascii="Poppins" w:hAnsi="Poppins" w:cs="Poppins"/>
          <w:bCs/>
        </w:rPr>
      </w:pPr>
      <w:r w:rsidRPr="00E60310">
        <w:rPr>
          <w:noProof/>
        </w:rPr>
        <w:drawing>
          <wp:inline distT="0" distB="0" distL="0" distR="0" wp14:anchorId="3296888E" wp14:editId="5ECCC3E4">
            <wp:extent cx="4080164" cy="2665826"/>
            <wp:effectExtent l="0" t="0" r="0" b="1270"/>
            <wp:docPr id="147307164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07164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94352" cy="2675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42586" w14:textId="77777777" w:rsidR="00DF41CA" w:rsidRPr="0034564E" w:rsidRDefault="00DF41CA" w:rsidP="00DF41CA">
      <w:pPr>
        <w:spacing w:before="120" w:after="120"/>
        <w:jc w:val="both"/>
        <w:rPr>
          <w:rFonts w:ascii="Poppins" w:hAnsi="Poppins" w:cs="Poppins"/>
        </w:rPr>
      </w:pPr>
      <w:r w:rsidRPr="0034564E">
        <w:rPr>
          <w:rFonts w:ascii="Poppins" w:hAnsi="Poppins" w:cs="Poppins"/>
          <w:bCs/>
        </w:rPr>
        <w:t>A vállalkozások összesített létszámgazdálkodási várakozását</w:t>
      </w:r>
      <w:r w:rsidRPr="0034564E">
        <w:rPr>
          <w:rFonts w:ascii="Poppins" w:hAnsi="Poppins" w:cs="Poppins"/>
        </w:rPr>
        <w:t xml:space="preserve"> jelző </w:t>
      </w:r>
      <w:r w:rsidRPr="0034564E">
        <w:rPr>
          <w:rFonts w:ascii="Poppins" w:hAnsi="Poppins" w:cs="Poppins"/>
          <w:b/>
        </w:rPr>
        <w:t>foglalkoztatási indikátor</w:t>
      </w:r>
      <w:r w:rsidRPr="0034564E">
        <w:rPr>
          <w:rFonts w:ascii="Poppins" w:hAnsi="Poppins" w:cs="Poppins"/>
          <w:bCs/>
        </w:rPr>
        <w:t xml:space="preserve"> 2026 harmadik hónapjában </w:t>
      </w:r>
      <w:r w:rsidRPr="00541EA8">
        <w:rPr>
          <w:rFonts w:ascii="Poppins" w:hAnsi="Poppins" w:cs="Poppins"/>
          <w:b/>
        </w:rPr>
        <w:t>lényegében nem változott</w:t>
      </w:r>
      <w:r w:rsidRPr="0034564E">
        <w:rPr>
          <w:rFonts w:ascii="Poppins" w:hAnsi="Poppins" w:cs="Poppins"/>
          <w:bCs/>
        </w:rPr>
        <w:t xml:space="preserve"> februárhoz </w:t>
      </w:r>
      <w:r w:rsidRPr="0034564E">
        <w:rPr>
          <w:rFonts w:ascii="Poppins" w:hAnsi="Poppins" w:cs="Poppins"/>
          <w:bCs/>
        </w:rPr>
        <w:lastRenderedPageBreak/>
        <w:t xml:space="preserve">képest. </w:t>
      </w:r>
      <w:r w:rsidRPr="0034564E">
        <w:rPr>
          <w:rFonts w:ascii="Poppins" w:hAnsi="Poppins" w:cs="Poppins"/>
        </w:rPr>
        <w:t xml:space="preserve">A következő három hónapban a vállalkozások 10%-a készül a létszám bővítésére, míg 11%-a csökkentené azt. </w:t>
      </w:r>
      <w:r w:rsidRPr="0034564E">
        <w:rPr>
          <w:rFonts w:ascii="Poppins" w:hAnsi="Poppins" w:cs="Poppins"/>
          <w:bCs/>
        </w:rPr>
        <w:t>Az építőiparban és a kereskedelemben a létszám csökkentésére törekvők vannak többségben a bővítést tervezőkkel szemben</w:t>
      </w:r>
      <w:r>
        <w:rPr>
          <w:rFonts w:ascii="Poppins" w:hAnsi="Poppins" w:cs="Poppins"/>
          <w:bCs/>
        </w:rPr>
        <w:t>, az iparban és a szolgáltatások területén viszont az utóbbiaké a többség.</w:t>
      </w:r>
      <w:r w:rsidRPr="0034564E">
        <w:rPr>
          <w:rFonts w:ascii="Poppins" w:hAnsi="Poppins" w:cs="Poppins"/>
          <w:bCs/>
        </w:rPr>
        <w:t xml:space="preserve"> </w:t>
      </w:r>
    </w:p>
    <w:p w14:paraId="23F06DAF" w14:textId="77777777" w:rsidR="00DF41CA" w:rsidRPr="0034564E" w:rsidRDefault="00DF41CA" w:rsidP="00DF41CA">
      <w:pPr>
        <w:spacing w:before="120" w:after="120"/>
        <w:jc w:val="both"/>
        <w:rPr>
          <w:rFonts w:ascii="Poppins" w:hAnsi="Poppins" w:cs="Poppins"/>
        </w:rPr>
      </w:pPr>
      <w:r w:rsidRPr="0034564E">
        <w:rPr>
          <w:rFonts w:ascii="Poppins" w:hAnsi="Poppins" w:cs="Poppins"/>
        </w:rPr>
        <w:t xml:space="preserve">A </w:t>
      </w:r>
      <w:r w:rsidRPr="0034564E">
        <w:rPr>
          <w:rFonts w:ascii="Poppins" w:hAnsi="Poppins" w:cs="Poppins"/>
          <w:b/>
          <w:bCs/>
        </w:rPr>
        <w:t>gazdálkodási környezet kiszámíthatóságának megítélése</w:t>
      </w:r>
      <w:r w:rsidRPr="0034564E">
        <w:rPr>
          <w:rFonts w:ascii="Poppins" w:hAnsi="Poppins" w:cs="Poppins"/>
        </w:rPr>
        <w:t xml:space="preserve"> – </w:t>
      </w:r>
      <w:r>
        <w:rPr>
          <w:rFonts w:ascii="Poppins" w:hAnsi="Poppins" w:cs="Poppins"/>
        </w:rPr>
        <w:t>február után</w:t>
      </w:r>
      <w:r w:rsidRPr="0034564E">
        <w:rPr>
          <w:rFonts w:ascii="Poppins" w:hAnsi="Poppins" w:cs="Poppins"/>
        </w:rPr>
        <w:t xml:space="preserve"> – </w:t>
      </w:r>
      <w:r>
        <w:rPr>
          <w:rFonts w:ascii="Poppins" w:hAnsi="Poppins" w:cs="Poppins"/>
        </w:rPr>
        <w:t xml:space="preserve">márciusban is </w:t>
      </w:r>
      <w:r w:rsidRPr="00541EA8">
        <w:rPr>
          <w:rFonts w:ascii="Poppins" w:hAnsi="Poppins" w:cs="Poppins"/>
          <w:b/>
          <w:bCs/>
        </w:rPr>
        <w:t>romlott</w:t>
      </w:r>
      <w:r w:rsidRPr="0034564E">
        <w:rPr>
          <w:rFonts w:ascii="Poppins" w:hAnsi="Poppins" w:cs="Poppins"/>
        </w:rPr>
        <w:t xml:space="preserve">. </w:t>
      </w:r>
      <w:r>
        <w:rPr>
          <w:rFonts w:ascii="Poppins" w:hAnsi="Poppins" w:cs="Poppins"/>
        </w:rPr>
        <w:t>Az üzleti szolgáltatások kivételével a válaszadók minden szektorban</w:t>
      </w:r>
      <w:r w:rsidRPr="0034564E">
        <w:rPr>
          <w:rFonts w:ascii="Poppins" w:hAnsi="Poppins" w:cs="Poppins"/>
        </w:rPr>
        <w:t xml:space="preserve"> </w:t>
      </w:r>
      <w:r>
        <w:rPr>
          <w:rFonts w:ascii="Poppins" w:hAnsi="Poppins" w:cs="Poppins"/>
        </w:rPr>
        <w:t xml:space="preserve">kevésbé </w:t>
      </w:r>
      <w:r w:rsidRPr="0034564E">
        <w:rPr>
          <w:rFonts w:ascii="Poppins" w:hAnsi="Poppins" w:cs="Poppins"/>
        </w:rPr>
        <w:t xml:space="preserve">kiszámíthatónak érezték a környezetet, mint </w:t>
      </w:r>
      <w:r>
        <w:rPr>
          <w:rFonts w:ascii="Poppins" w:hAnsi="Poppins" w:cs="Poppins"/>
        </w:rPr>
        <w:t>februárban</w:t>
      </w:r>
      <w:r w:rsidRPr="0034564E">
        <w:rPr>
          <w:rFonts w:ascii="Poppins" w:hAnsi="Poppins" w:cs="Poppins"/>
        </w:rPr>
        <w:t>.</w:t>
      </w:r>
    </w:p>
    <w:p w14:paraId="59AC8A8B" w14:textId="77777777" w:rsidR="00DF41CA" w:rsidRDefault="00DF41CA" w:rsidP="00DF41CA">
      <w:pPr>
        <w:spacing w:before="120" w:after="120"/>
        <w:jc w:val="both"/>
        <w:rPr>
          <w:rFonts w:ascii="Poppins" w:hAnsi="Poppins" w:cs="Poppins"/>
        </w:rPr>
      </w:pPr>
      <w:r w:rsidRPr="0034564E">
        <w:rPr>
          <w:rFonts w:ascii="Poppins" w:hAnsi="Poppins" w:cs="Poppins"/>
        </w:rPr>
        <w:t xml:space="preserve">Az </w:t>
      </w:r>
      <w:r w:rsidRPr="0034564E">
        <w:rPr>
          <w:rFonts w:ascii="Poppins" w:hAnsi="Poppins" w:cs="Poppins"/>
          <w:b/>
          <w:bCs/>
        </w:rPr>
        <w:t>ár-indikátor</w:t>
      </w:r>
      <w:r w:rsidRPr="0034564E">
        <w:rPr>
          <w:rFonts w:ascii="Poppins" w:hAnsi="Poppins" w:cs="Poppins"/>
        </w:rPr>
        <w:t xml:space="preserve">, ami a cégek értékesítési árainak a következő három hónapban várható alakulását mutatja, januárban tíz havi csúcson volt, februárban </w:t>
      </w:r>
      <w:r>
        <w:rPr>
          <w:rFonts w:ascii="Poppins" w:hAnsi="Poppins" w:cs="Poppins"/>
        </w:rPr>
        <w:t xml:space="preserve">kissé csökkent, majd </w:t>
      </w:r>
      <w:r w:rsidRPr="00541EA8">
        <w:rPr>
          <w:rFonts w:ascii="Poppins" w:hAnsi="Poppins" w:cs="Poppins"/>
          <w:b/>
          <w:bCs/>
        </w:rPr>
        <w:t>márciusban visszatért a januári szintre</w:t>
      </w:r>
      <w:r w:rsidRPr="0034564E">
        <w:rPr>
          <w:rFonts w:ascii="Poppins" w:hAnsi="Poppins" w:cs="Poppins"/>
        </w:rPr>
        <w:t>. A következő három hónapban a cégek 3</w:t>
      </w:r>
      <w:r>
        <w:rPr>
          <w:rFonts w:ascii="Poppins" w:hAnsi="Poppins" w:cs="Poppins"/>
        </w:rPr>
        <w:t>0</w:t>
      </w:r>
      <w:r w:rsidRPr="0034564E">
        <w:rPr>
          <w:rFonts w:ascii="Poppins" w:hAnsi="Poppins" w:cs="Poppins"/>
        </w:rPr>
        <w:t xml:space="preserve">%-a </w:t>
      </w:r>
      <w:r>
        <w:rPr>
          <w:rFonts w:ascii="Poppins" w:hAnsi="Poppins" w:cs="Poppins"/>
        </w:rPr>
        <w:t xml:space="preserve">tervez </w:t>
      </w:r>
      <w:r w:rsidRPr="0034564E">
        <w:rPr>
          <w:rFonts w:ascii="Poppins" w:hAnsi="Poppins" w:cs="Poppins"/>
        </w:rPr>
        <w:t xml:space="preserve">árat emelni, míg árcsökkentésre </w:t>
      </w:r>
      <w:r>
        <w:rPr>
          <w:rFonts w:ascii="Poppins" w:hAnsi="Poppins" w:cs="Poppins"/>
        </w:rPr>
        <w:t>7</w:t>
      </w:r>
      <w:r w:rsidRPr="0034564E">
        <w:rPr>
          <w:rFonts w:ascii="Poppins" w:hAnsi="Poppins" w:cs="Poppins"/>
        </w:rPr>
        <w:t>%-</w:t>
      </w:r>
      <w:proofErr w:type="spellStart"/>
      <w:r w:rsidRPr="0034564E">
        <w:rPr>
          <w:rFonts w:ascii="Poppins" w:hAnsi="Poppins" w:cs="Poppins"/>
        </w:rPr>
        <w:t>uk</w:t>
      </w:r>
      <w:proofErr w:type="spellEnd"/>
      <w:r w:rsidRPr="0034564E">
        <w:rPr>
          <w:rFonts w:ascii="Poppins" w:hAnsi="Poppins" w:cs="Poppins"/>
        </w:rPr>
        <w:t xml:space="preserve"> készül.</w:t>
      </w:r>
    </w:p>
    <w:p w14:paraId="3A753785" w14:textId="1CFDF6FB" w:rsidR="00DF41CA" w:rsidRDefault="00DF41CA" w:rsidP="00DF41CA">
      <w:pPr>
        <w:spacing w:before="120" w:after="120"/>
        <w:jc w:val="both"/>
        <w:rPr>
          <w:rFonts w:ascii="Poppins" w:hAnsi="Poppins" w:cs="Poppins"/>
          <w:bCs/>
        </w:rPr>
      </w:pPr>
      <w:r w:rsidRPr="00462591">
        <w:rPr>
          <w:rFonts w:ascii="Poppins" w:hAnsi="Poppins" w:cs="Poppins"/>
          <w:b/>
        </w:rPr>
        <w:t xml:space="preserve">Az üzleti bizalmi index elmúlt 30 éves mozgásai </w:t>
      </w:r>
      <w:r>
        <w:rPr>
          <w:rFonts w:ascii="Poppins" w:hAnsi="Poppins" w:cs="Poppins"/>
          <w:bCs/>
        </w:rPr>
        <w:t xml:space="preserve">azt tükrözik, hogy a magyar gazdaság mélyen integrálódott az uniós egészének gazdasági rendszerébe. Ez – többek között – a gazdálkodó szférák várakozásainak </w:t>
      </w:r>
      <w:proofErr w:type="spellStart"/>
      <w:r>
        <w:rPr>
          <w:rFonts w:ascii="Poppins" w:hAnsi="Poppins" w:cs="Poppins"/>
          <w:bCs/>
        </w:rPr>
        <w:t>szinkronizálódásában</w:t>
      </w:r>
      <w:proofErr w:type="spellEnd"/>
      <w:r>
        <w:rPr>
          <w:rFonts w:ascii="Poppins" w:hAnsi="Poppins" w:cs="Poppins"/>
          <w:bCs/>
        </w:rPr>
        <w:t xml:space="preserve"> is testet ölt. A magyar és az uniós üzleti bizalmi index az elmúlt harminc évben erősen együtt mozgott, a megfelelő korrelációs mutató 0,78, ami a két idősor között szoros kapcsolatot jelez. Természetesen, voltak olyan időszakok, amikor a hazai várakozások sokkal optimistábbak voltak az unió egészére jellemzőknél: 2013 és 2019 között jellemzően ez volt a helyzet. 2004 és 2012 között, illetve 2022 után azonban az uniós mutató haladta meg a magyart.</w:t>
      </w:r>
    </w:p>
    <w:p w14:paraId="3DDFCE05" w14:textId="77777777" w:rsidR="00DF41CA" w:rsidRPr="00736832" w:rsidRDefault="00DF41CA" w:rsidP="00DF41CA">
      <w:pPr>
        <w:spacing w:before="120" w:after="120" w:line="259" w:lineRule="auto"/>
        <w:jc w:val="center"/>
        <w:rPr>
          <w:rFonts w:ascii="Poppins" w:hAnsi="Poppins" w:cs="Poppins"/>
          <w:b/>
        </w:rPr>
      </w:pPr>
      <w:r w:rsidRPr="00736832">
        <w:rPr>
          <w:rFonts w:ascii="Poppins" w:hAnsi="Poppins" w:cs="Poppins"/>
          <w:b/>
        </w:rPr>
        <w:t>Üzleti bizalmi index Magyarországon és az Európai Unióban, 1996-2026</w:t>
      </w:r>
    </w:p>
    <w:p w14:paraId="4DEF7473" w14:textId="77777777" w:rsidR="00DF41CA" w:rsidRDefault="00DF41CA" w:rsidP="00DF41CA">
      <w:pPr>
        <w:spacing w:before="120" w:after="120" w:line="259" w:lineRule="auto"/>
        <w:jc w:val="center"/>
        <w:rPr>
          <w:rFonts w:ascii="Poppins" w:hAnsi="Poppins" w:cs="Poppins"/>
          <w:bCs/>
        </w:rPr>
      </w:pPr>
      <w:r w:rsidRPr="00736832">
        <w:rPr>
          <w:noProof/>
        </w:rPr>
        <w:drawing>
          <wp:inline distT="0" distB="0" distL="0" distR="0" wp14:anchorId="5A41296C" wp14:editId="24ECC25B">
            <wp:extent cx="4267200" cy="2788029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0761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8907" cy="2795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3496C" w14:textId="77777777" w:rsidR="00DF41CA" w:rsidRPr="0034564E" w:rsidRDefault="00DF41CA" w:rsidP="00DF41CA">
      <w:pPr>
        <w:spacing w:before="120" w:after="120"/>
        <w:jc w:val="both"/>
        <w:rPr>
          <w:rFonts w:ascii="Poppins" w:hAnsi="Poppins" w:cs="Poppins"/>
          <w:bCs/>
        </w:rPr>
      </w:pPr>
      <w:r w:rsidRPr="00A15FAE">
        <w:rPr>
          <w:rFonts w:ascii="Poppins" w:hAnsi="Poppins" w:cs="Poppins"/>
        </w:rPr>
        <w:lastRenderedPageBreak/>
        <w:t xml:space="preserve">A </w:t>
      </w:r>
      <w:r w:rsidRPr="00A15FAE">
        <w:rPr>
          <w:rFonts w:ascii="Poppins" w:hAnsi="Poppins" w:cs="Poppins"/>
          <w:b/>
          <w:bCs/>
        </w:rPr>
        <w:t>GKI fogyasztói bizalmi index</w:t>
      </w:r>
      <w:r w:rsidRPr="00A15FAE">
        <w:rPr>
          <w:rFonts w:ascii="Poppins" w:hAnsi="Poppins" w:cs="Poppins"/>
        </w:rPr>
        <w:t xml:space="preserve"> az elmúlt két évre jellemző </w:t>
      </w:r>
      <w:r>
        <w:rPr>
          <w:rFonts w:ascii="Poppins" w:hAnsi="Poppins" w:cs="Poppins"/>
        </w:rPr>
        <w:t xml:space="preserve">alacsonyabb </w:t>
      </w:r>
      <w:r w:rsidRPr="00A15FAE">
        <w:rPr>
          <w:rFonts w:ascii="Poppins" w:hAnsi="Poppins" w:cs="Poppins"/>
        </w:rPr>
        <w:t xml:space="preserve">sávból decemberben </w:t>
      </w:r>
      <w:r>
        <w:rPr>
          <w:rFonts w:ascii="Poppins" w:hAnsi="Poppins" w:cs="Poppins"/>
        </w:rPr>
        <w:t>meg</w:t>
      </w:r>
      <w:r w:rsidRPr="00A15FAE">
        <w:rPr>
          <w:rFonts w:ascii="Poppins" w:hAnsi="Poppins" w:cs="Poppins"/>
        </w:rPr>
        <w:t xml:space="preserve">ugrott, majd </w:t>
      </w:r>
      <w:r w:rsidRPr="00020838">
        <w:rPr>
          <w:rFonts w:ascii="Poppins" w:hAnsi="Poppins" w:cs="Poppins"/>
          <w:b/>
          <w:bCs/>
        </w:rPr>
        <w:t xml:space="preserve">február-márciusban </w:t>
      </w:r>
      <w:r>
        <w:rPr>
          <w:rFonts w:ascii="Poppins" w:hAnsi="Poppins" w:cs="Poppins"/>
          <w:b/>
          <w:bCs/>
        </w:rPr>
        <w:t xml:space="preserve">tovább </w:t>
      </w:r>
      <w:r w:rsidRPr="00020838">
        <w:rPr>
          <w:rFonts w:ascii="Poppins" w:hAnsi="Poppins" w:cs="Poppins"/>
          <w:b/>
          <w:bCs/>
        </w:rPr>
        <w:t>emelked</w:t>
      </w:r>
      <w:r>
        <w:rPr>
          <w:rFonts w:ascii="Poppins" w:hAnsi="Poppins" w:cs="Poppins"/>
          <w:b/>
          <w:bCs/>
        </w:rPr>
        <w:t>ve a tartósan legutóbb 2022-es energiaválság előtt jellemző tartományba került</w:t>
      </w:r>
      <w:r w:rsidRPr="00A15FAE">
        <w:rPr>
          <w:rFonts w:ascii="Poppins" w:hAnsi="Poppins" w:cs="Poppins"/>
        </w:rPr>
        <w:t xml:space="preserve">. </w:t>
      </w:r>
      <w:r>
        <w:rPr>
          <w:rFonts w:ascii="Poppins" w:hAnsi="Poppins" w:cs="Poppins"/>
        </w:rPr>
        <w:t>Az aktuális hónapban a</w:t>
      </w:r>
      <w:r w:rsidRPr="00A15FAE">
        <w:rPr>
          <w:rFonts w:ascii="Poppins" w:hAnsi="Poppins" w:cs="Poppins"/>
        </w:rPr>
        <w:t xml:space="preserve"> lakosság </w:t>
      </w:r>
      <w:r w:rsidRPr="00020838">
        <w:rPr>
          <w:rFonts w:ascii="Poppins" w:hAnsi="Poppins" w:cs="Poppins"/>
          <w:b/>
          <w:bCs/>
        </w:rPr>
        <w:t>az elmúlt 12 hónapra vonatkozó pénzügyi helyzetét erősen javulónak értékelte</w:t>
      </w:r>
      <w:r w:rsidRPr="00A15FAE">
        <w:rPr>
          <w:rFonts w:ascii="Poppins" w:hAnsi="Poppins" w:cs="Poppins"/>
        </w:rPr>
        <w:t xml:space="preserve"> az előző hónaphoz képest. Emellett a következő 12 hónapra vonatkozó pénzügyi kilátásait közepesen, az ország következő 12 havi gazdasági helyzetét enyhén </w:t>
      </w:r>
      <w:r>
        <w:rPr>
          <w:rFonts w:ascii="Poppins" w:hAnsi="Poppins" w:cs="Poppins"/>
        </w:rPr>
        <w:t>kedvezőbbnek</w:t>
      </w:r>
      <w:r w:rsidRPr="00A15FAE">
        <w:rPr>
          <w:rFonts w:ascii="Poppins" w:hAnsi="Poppins" w:cs="Poppins"/>
        </w:rPr>
        <w:t xml:space="preserve"> értékelte</w:t>
      </w:r>
      <w:r>
        <w:rPr>
          <w:rFonts w:ascii="Poppins" w:hAnsi="Poppins" w:cs="Poppins"/>
        </w:rPr>
        <w:t xml:space="preserve"> a februárinál</w:t>
      </w:r>
      <w:r w:rsidRPr="00A15FAE">
        <w:rPr>
          <w:rFonts w:ascii="Poppins" w:hAnsi="Poppins" w:cs="Poppins"/>
        </w:rPr>
        <w:t xml:space="preserve">. </w:t>
      </w:r>
      <w:r w:rsidRPr="00020838">
        <w:rPr>
          <w:rFonts w:ascii="Poppins" w:hAnsi="Poppins" w:cs="Poppins"/>
          <w:b/>
          <w:bCs/>
        </w:rPr>
        <w:t xml:space="preserve">A nagy értékű fogyasztási cikkekre elkölthető saját pénz megítélése viszont romlott. </w:t>
      </w:r>
      <w:r w:rsidRPr="00A15FAE">
        <w:rPr>
          <w:rFonts w:ascii="Poppins" w:hAnsi="Poppins" w:cs="Poppins"/>
        </w:rPr>
        <w:t>A</w:t>
      </w:r>
      <w:r>
        <w:rPr>
          <w:rFonts w:ascii="Poppins" w:hAnsi="Poppins" w:cs="Poppins"/>
        </w:rPr>
        <w:t>z</w:t>
      </w:r>
      <w:r w:rsidRPr="00A15FAE">
        <w:rPr>
          <w:rFonts w:ascii="Poppins" w:hAnsi="Poppins" w:cs="Poppins"/>
        </w:rPr>
        <w:t xml:space="preserve"> inflációs várakozás</w:t>
      </w:r>
      <w:r>
        <w:rPr>
          <w:rFonts w:ascii="Poppins" w:hAnsi="Poppins" w:cs="Poppins"/>
        </w:rPr>
        <w:t>ok</w:t>
      </w:r>
      <w:r w:rsidRPr="00A15FAE">
        <w:rPr>
          <w:rFonts w:ascii="Poppins" w:hAnsi="Poppins" w:cs="Poppins"/>
        </w:rPr>
        <w:t xml:space="preserve"> </w:t>
      </w:r>
      <w:r>
        <w:rPr>
          <w:rFonts w:ascii="Poppins" w:hAnsi="Poppins" w:cs="Poppins"/>
        </w:rPr>
        <w:t xml:space="preserve">tovább </w:t>
      </w:r>
      <w:r w:rsidRPr="00A15FAE">
        <w:rPr>
          <w:rFonts w:ascii="Poppins" w:hAnsi="Poppins" w:cs="Poppins"/>
        </w:rPr>
        <w:t>enyhült</w:t>
      </w:r>
      <w:r>
        <w:rPr>
          <w:rFonts w:ascii="Poppins" w:hAnsi="Poppins" w:cs="Poppins"/>
        </w:rPr>
        <w:t>ek</w:t>
      </w:r>
      <w:r w:rsidRPr="00A15FAE">
        <w:rPr>
          <w:rFonts w:ascii="Poppins" w:hAnsi="Poppins" w:cs="Poppins"/>
        </w:rPr>
        <w:t xml:space="preserve">, míg a munkanélküliek számának várható alakulását illető kilátás </w:t>
      </w:r>
      <w:r>
        <w:rPr>
          <w:rFonts w:ascii="Poppins" w:hAnsi="Poppins" w:cs="Poppins"/>
        </w:rPr>
        <w:t xml:space="preserve">az előző hónaphoz hasonlóan </w:t>
      </w:r>
      <w:r w:rsidRPr="00A15FAE">
        <w:rPr>
          <w:rFonts w:ascii="Poppins" w:hAnsi="Poppins" w:cs="Poppins"/>
        </w:rPr>
        <w:t>kismértékben romlott.</w:t>
      </w:r>
    </w:p>
    <w:p w14:paraId="47F3C66A" w14:textId="234C3E16" w:rsidR="00DF41CA" w:rsidRDefault="00DF41CA" w:rsidP="00DF41CA">
      <w:pPr>
        <w:spacing w:before="120" w:after="120"/>
        <w:jc w:val="both"/>
        <w:rPr>
          <w:rFonts w:ascii="Poppins" w:hAnsi="Poppins" w:cs="Poppins"/>
        </w:rPr>
      </w:pPr>
      <w:r w:rsidRPr="00771FAA">
        <w:rPr>
          <w:rFonts w:ascii="Poppins" w:hAnsi="Poppins" w:cs="Poppins"/>
          <w:b/>
          <w:bCs/>
        </w:rPr>
        <w:t>A fogyasztói bizalmi index elmúlt 30 éves idősora négy jól elkülönülő periódusra osztható.</w:t>
      </w:r>
      <w:r>
        <w:rPr>
          <w:rFonts w:ascii="Poppins" w:hAnsi="Poppins" w:cs="Poppins"/>
        </w:rPr>
        <w:t xml:space="preserve">  A 90-es évek második felétől meginduló dinamikus gazdasági növekedés időszakának optimizmusát követően a</w:t>
      </w:r>
      <w:r w:rsidRPr="003D3322">
        <w:rPr>
          <w:rFonts w:ascii="Poppins" w:hAnsi="Poppins" w:cs="Poppins"/>
        </w:rPr>
        <w:t xml:space="preserve"> 2009-es globális pénzügyi válság után a </w:t>
      </w:r>
      <w:r w:rsidRPr="00771FAA">
        <w:rPr>
          <w:rFonts w:ascii="Poppins" w:hAnsi="Poppins" w:cs="Poppins"/>
        </w:rPr>
        <w:t>fogyasztói bizalmi index</w:t>
      </w:r>
      <w:r w:rsidRPr="003D3322">
        <w:rPr>
          <w:rFonts w:ascii="Poppins" w:hAnsi="Poppins" w:cs="Poppins"/>
        </w:rPr>
        <w:t xml:space="preserve"> tartósan alacsony szinten stabilizálódott</w:t>
      </w:r>
      <w:r w:rsidRPr="00AA3FDA">
        <w:rPr>
          <w:rFonts w:ascii="Poppins" w:hAnsi="Poppins" w:cs="Poppins"/>
        </w:rPr>
        <w:t xml:space="preserve">. </w:t>
      </w:r>
      <w:r>
        <w:rPr>
          <w:rFonts w:ascii="Poppins" w:hAnsi="Poppins" w:cs="Poppins"/>
        </w:rPr>
        <w:t xml:space="preserve">Újabb </w:t>
      </w:r>
      <w:r w:rsidRPr="003D3322">
        <w:rPr>
          <w:rFonts w:ascii="Poppins" w:hAnsi="Poppins" w:cs="Poppins"/>
        </w:rPr>
        <w:t>tartós javulás csak 2013 után indult el</w:t>
      </w:r>
      <w:r w:rsidRPr="00AA3FDA">
        <w:rPr>
          <w:rFonts w:ascii="Poppins" w:hAnsi="Poppins" w:cs="Poppins"/>
        </w:rPr>
        <w:t>, mely</w:t>
      </w:r>
      <w:r w:rsidRPr="003D3322">
        <w:rPr>
          <w:rFonts w:ascii="Poppins" w:hAnsi="Poppins" w:cs="Poppins"/>
        </w:rPr>
        <w:t xml:space="preserve"> 2019-ig tartó kedvező szakasz a háztartások pénzügyi helyzetének javulásával, a reálbérek növekedésével és a kedvező makrogazdasági környezettel állt összefüggésben.</w:t>
      </w:r>
      <w:r w:rsidRPr="00AA3FDA">
        <w:rPr>
          <w:rFonts w:ascii="Poppins" w:hAnsi="Poppins" w:cs="Poppins"/>
        </w:rPr>
        <w:t xml:space="preserve"> </w:t>
      </w:r>
      <w:r w:rsidRPr="003D3322">
        <w:rPr>
          <w:rFonts w:ascii="Poppins" w:hAnsi="Poppins" w:cs="Poppins"/>
        </w:rPr>
        <w:t xml:space="preserve">A kedvező trendet </w:t>
      </w:r>
      <w:r w:rsidRPr="00AA3FDA">
        <w:rPr>
          <w:rFonts w:ascii="Poppins" w:hAnsi="Poppins" w:cs="Poppins"/>
        </w:rPr>
        <w:t xml:space="preserve">először </w:t>
      </w:r>
      <w:r w:rsidRPr="003D3322">
        <w:rPr>
          <w:rFonts w:ascii="Poppins" w:hAnsi="Poppins" w:cs="Poppins"/>
        </w:rPr>
        <w:t xml:space="preserve">a 2020-as COVID-válság törte meg, </w:t>
      </w:r>
      <w:r w:rsidRPr="00AA3FDA">
        <w:rPr>
          <w:rFonts w:ascii="Poppins" w:hAnsi="Poppins" w:cs="Poppins"/>
        </w:rPr>
        <w:t xml:space="preserve">majd </w:t>
      </w:r>
      <w:r w:rsidRPr="003D3322">
        <w:rPr>
          <w:rFonts w:ascii="Poppins" w:hAnsi="Poppins" w:cs="Poppins"/>
        </w:rPr>
        <w:t>a 2022-es inflációs és energiaár-sokk újabb erőteljes romlást hozott. A 2023</w:t>
      </w:r>
      <w:r w:rsidRPr="00AA3FDA">
        <w:rPr>
          <w:rFonts w:ascii="Poppins" w:hAnsi="Poppins" w:cs="Poppins"/>
        </w:rPr>
        <w:t>-2026 közötti</w:t>
      </w:r>
      <w:r w:rsidRPr="003D3322">
        <w:rPr>
          <w:rFonts w:ascii="Poppins" w:hAnsi="Poppins" w:cs="Poppins"/>
        </w:rPr>
        <w:t xml:space="preserve"> időszakban </w:t>
      </w:r>
      <w:r w:rsidRPr="00AA3FDA">
        <w:rPr>
          <w:rFonts w:ascii="Poppins" w:hAnsi="Poppins" w:cs="Poppins"/>
        </w:rPr>
        <w:t xml:space="preserve">trendjében </w:t>
      </w:r>
      <w:r w:rsidRPr="003D3322">
        <w:rPr>
          <w:rFonts w:ascii="Poppins" w:hAnsi="Poppins" w:cs="Poppins"/>
        </w:rPr>
        <w:t xml:space="preserve">ismét </w:t>
      </w:r>
      <w:r w:rsidRPr="00AA3FDA">
        <w:rPr>
          <w:rFonts w:ascii="Poppins" w:hAnsi="Poppins" w:cs="Poppins"/>
        </w:rPr>
        <w:t xml:space="preserve">lassú </w:t>
      </w:r>
      <w:r w:rsidRPr="003D3322">
        <w:rPr>
          <w:rFonts w:ascii="Poppins" w:hAnsi="Poppins" w:cs="Poppins"/>
        </w:rPr>
        <w:t>javulás figyelhető meg</w:t>
      </w:r>
      <w:r w:rsidRPr="00AA3FDA">
        <w:rPr>
          <w:rFonts w:ascii="Poppins" w:hAnsi="Poppins" w:cs="Poppins"/>
        </w:rPr>
        <w:t>, u</w:t>
      </w:r>
      <w:r w:rsidRPr="003D3322">
        <w:rPr>
          <w:rFonts w:ascii="Poppins" w:hAnsi="Poppins" w:cs="Poppins"/>
        </w:rPr>
        <w:t xml:space="preserve">gyanakkor </w:t>
      </w:r>
      <w:r w:rsidRPr="00AA3FDA">
        <w:rPr>
          <w:rFonts w:ascii="Poppins" w:hAnsi="Poppins" w:cs="Poppins"/>
        </w:rPr>
        <w:t>az index szintje</w:t>
      </w:r>
      <w:r w:rsidRPr="003D3322">
        <w:rPr>
          <w:rFonts w:ascii="Poppins" w:hAnsi="Poppins" w:cs="Poppins"/>
        </w:rPr>
        <w:t xml:space="preserve"> még mindig </w:t>
      </w:r>
      <w:r w:rsidRPr="00AA3FDA">
        <w:rPr>
          <w:rFonts w:ascii="Poppins" w:hAnsi="Poppins" w:cs="Poppins"/>
        </w:rPr>
        <w:t xml:space="preserve">jócskán </w:t>
      </w:r>
      <w:r w:rsidRPr="003D3322">
        <w:rPr>
          <w:rFonts w:ascii="Poppins" w:hAnsi="Poppins" w:cs="Poppins"/>
        </w:rPr>
        <w:t>elmarad a 2018</w:t>
      </w:r>
      <w:r w:rsidRPr="00AA3FDA">
        <w:rPr>
          <w:rFonts w:ascii="Poppins" w:hAnsi="Poppins" w:cs="Poppins"/>
        </w:rPr>
        <w:t>-</w:t>
      </w:r>
      <w:r w:rsidRPr="003D3322">
        <w:rPr>
          <w:rFonts w:ascii="Poppins" w:hAnsi="Poppins" w:cs="Poppins"/>
        </w:rPr>
        <w:t>2019-es csúcsidőszak</w:t>
      </w:r>
      <w:r w:rsidRPr="00AA3FDA">
        <w:rPr>
          <w:rFonts w:ascii="Poppins" w:hAnsi="Poppins" w:cs="Poppins"/>
        </w:rPr>
        <w:t>é</w:t>
      </w:r>
      <w:r w:rsidRPr="003D3322">
        <w:rPr>
          <w:rFonts w:ascii="Poppins" w:hAnsi="Poppins" w:cs="Poppins"/>
        </w:rPr>
        <w:t>tól, ami arra utal, hogy a fogyasztói bizalom ugyan stabilizálódott, de a lakosság pénzügyi percepciója továbbra is óvatos és pesszimista maradt.</w:t>
      </w:r>
    </w:p>
    <w:p w14:paraId="1A49FBC4" w14:textId="12CFB9BE" w:rsidR="00DF41CA" w:rsidRPr="00DF41CA" w:rsidRDefault="00DF41CA" w:rsidP="00DF41CA">
      <w:pPr>
        <w:rPr>
          <w:rFonts w:ascii="Poppins" w:hAnsi="Poppins" w:cs="Poppins"/>
        </w:rPr>
      </w:pPr>
      <w:r>
        <w:rPr>
          <w:rFonts w:ascii="Poppins" w:hAnsi="Poppins" w:cs="Poppins"/>
        </w:rPr>
        <w:br w:type="page"/>
      </w:r>
    </w:p>
    <w:p w14:paraId="6E0FB74F" w14:textId="77777777" w:rsidR="00DF41CA" w:rsidRPr="0053460D" w:rsidRDefault="00DF41CA" w:rsidP="00DF41CA">
      <w:pPr>
        <w:spacing w:before="120" w:after="120" w:line="259" w:lineRule="auto"/>
        <w:jc w:val="center"/>
        <w:rPr>
          <w:rFonts w:ascii="Poppins" w:hAnsi="Poppins" w:cs="Poppins"/>
          <w:b/>
        </w:rPr>
      </w:pPr>
      <w:r w:rsidRPr="0053460D">
        <w:rPr>
          <w:rFonts w:ascii="Poppins" w:hAnsi="Poppins" w:cs="Poppins"/>
          <w:b/>
        </w:rPr>
        <w:lastRenderedPageBreak/>
        <w:t xml:space="preserve">A GKI </w:t>
      </w:r>
      <w:r>
        <w:rPr>
          <w:rFonts w:ascii="Poppins" w:hAnsi="Poppins" w:cs="Poppins"/>
          <w:b/>
        </w:rPr>
        <w:t>fogyasztói bizalmi indexe</w:t>
      </w:r>
    </w:p>
    <w:p w14:paraId="6BF833A1" w14:textId="77777777" w:rsidR="00DF41CA" w:rsidRPr="003D3322" w:rsidRDefault="00DF41CA" w:rsidP="00DF41CA">
      <w:pPr>
        <w:spacing w:before="120" w:after="120" w:line="259" w:lineRule="auto"/>
        <w:jc w:val="center"/>
        <w:rPr>
          <w:rFonts w:ascii="Poppins" w:hAnsi="Poppins" w:cs="Poppins"/>
        </w:rPr>
      </w:pPr>
      <w:r w:rsidRPr="001500C8">
        <w:rPr>
          <w:noProof/>
        </w:rPr>
        <w:drawing>
          <wp:inline distT="0" distB="0" distL="0" distR="0" wp14:anchorId="56F7F730" wp14:editId="01D2DDCF">
            <wp:extent cx="5075113" cy="2880000"/>
            <wp:effectExtent l="0" t="0" r="0" b="0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75113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190EA" w14:textId="77777777" w:rsidR="00DF41CA" w:rsidRDefault="00DF41CA" w:rsidP="00DF41CA">
      <w:pPr>
        <w:spacing w:before="120" w:after="120"/>
        <w:jc w:val="both"/>
        <w:rPr>
          <w:rFonts w:ascii="Poppins" w:hAnsi="Poppins" w:cs="Poppins"/>
        </w:rPr>
      </w:pPr>
      <w:r w:rsidRPr="00771FAA">
        <w:rPr>
          <w:rFonts w:ascii="Poppins" w:hAnsi="Poppins" w:cs="Poppins"/>
          <w:b/>
          <w:bCs/>
        </w:rPr>
        <w:t xml:space="preserve">A fogyasztói bizalmi index részmutatói közül </w:t>
      </w:r>
      <w:r w:rsidRPr="003979CE">
        <w:rPr>
          <w:rFonts w:ascii="Poppins" w:hAnsi="Poppins" w:cs="Poppins"/>
          <w:b/>
          <w:bCs/>
        </w:rPr>
        <w:t>a háztartások pénzügyi helyzetének múltbeli és jövőbeli megítélése</w:t>
      </w:r>
      <w:r w:rsidRPr="00771FAA">
        <w:rPr>
          <w:rFonts w:ascii="Poppins" w:hAnsi="Poppins" w:cs="Poppins"/>
          <w:b/>
          <w:bCs/>
        </w:rPr>
        <w:t xml:space="preserve"> jellemzően szorosan együtt mozog</w:t>
      </w:r>
      <w:r w:rsidRPr="00AA3FDA">
        <w:rPr>
          <w:rFonts w:ascii="Poppins" w:hAnsi="Poppins" w:cs="Poppins"/>
        </w:rPr>
        <w:t>. Ugyanakkor a fordulópontok jellemzően előbb jelennek meg a várakozásokban, és a két mutató közötti különbség fontos információt hordoz. Összességében a háztartások percepciójá</w:t>
      </w:r>
      <w:r>
        <w:rPr>
          <w:rFonts w:ascii="Poppins" w:hAnsi="Poppins" w:cs="Poppins"/>
        </w:rPr>
        <w:t xml:space="preserve">nak elmozdulása inkább </w:t>
      </w:r>
      <w:r w:rsidRPr="00AA3FDA">
        <w:rPr>
          <w:rFonts w:ascii="Poppins" w:hAnsi="Poppins" w:cs="Poppins"/>
        </w:rPr>
        <w:t>a jövő megítélés</w:t>
      </w:r>
      <w:r>
        <w:rPr>
          <w:rFonts w:ascii="Poppins" w:hAnsi="Poppins" w:cs="Poppins"/>
        </w:rPr>
        <w:t>ében jelenik meg</w:t>
      </w:r>
      <w:r w:rsidRPr="00AA3FDA">
        <w:rPr>
          <w:rFonts w:ascii="Poppins" w:hAnsi="Poppins" w:cs="Poppins"/>
        </w:rPr>
        <w:t>, míg a múltbeli helyzet értékelése lassabban, tehetetlenséggel alkalmazkodik a gazdasági változásokhoz.</w:t>
      </w:r>
    </w:p>
    <w:p w14:paraId="07812A5E" w14:textId="77777777" w:rsidR="00DF41CA" w:rsidRPr="0053460D" w:rsidRDefault="00DF41CA" w:rsidP="00DF41CA">
      <w:pPr>
        <w:spacing w:before="120" w:after="120" w:line="259" w:lineRule="auto"/>
        <w:jc w:val="center"/>
        <w:rPr>
          <w:rFonts w:ascii="Poppins" w:hAnsi="Poppins" w:cs="Poppins"/>
          <w:b/>
        </w:rPr>
      </w:pPr>
      <w:r w:rsidRPr="0053460D">
        <w:rPr>
          <w:rFonts w:ascii="Poppins" w:hAnsi="Poppins" w:cs="Poppins"/>
          <w:b/>
        </w:rPr>
        <w:t xml:space="preserve">A </w:t>
      </w:r>
      <w:r>
        <w:rPr>
          <w:rFonts w:ascii="Poppins" w:hAnsi="Poppins" w:cs="Poppins"/>
          <w:b/>
        </w:rPr>
        <w:t>múltbeli és jövőbeli pénzügyi helyzet megítélése</w:t>
      </w:r>
    </w:p>
    <w:p w14:paraId="014304F6" w14:textId="77777777" w:rsidR="00DF41CA" w:rsidRPr="00AA3FDA" w:rsidRDefault="00DF41CA" w:rsidP="00DF41CA">
      <w:pPr>
        <w:spacing w:before="120" w:after="120" w:line="259" w:lineRule="auto"/>
        <w:jc w:val="center"/>
        <w:rPr>
          <w:rFonts w:ascii="Poppins" w:hAnsi="Poppins" w:cs="Poppins"/>
        </w:rPr>
      </w:pPr>
      <w:r w:rsidRPr="001500C8">
        <w:rPr>
          <w:noProof/>
        </w:rPr>
        <w:drawing>
          <wp:inline distT="0" distB="0" distL="0" distR="0" wp14:anchorId="1193FADC" wp14:editId="05BFA0BA">
            <wp:extent cx="4959682" cy="2964873"/>
            <wp:effectExtent l="0" t="0" r="0" b="6985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804" cy="2966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1F650" w14:textId="77777777" w:rsidR="00DF41CA" w:rsidRPr="00AA3FDA" w:rsidRDefault="00DF41CA" w:rsidP="00DF41CA">
      <w:pPr>
        <w:spacing w:before="120" w:after="120"/>
        <w:jc w:val="both"/>
        <w:rPr>
          <w:rFonts w:ascii="Poppins" w:hAnsi="Poppins" w:cs="Poppins"/>
        </w:rPr>
      </w:pPr>
      <w:r w:rsidRPr="00771FAA">
        <w:rPr>
          <w:rFonts w:ascii="Poppins" w:hAnsi="Poppins" w:cs="Poppins"/>
          <w:b/>
          <w:bCs/>
        </w:rPr>
        <w:lastRenderedPageBreak/>
        <w:t xml:space="preserve">Az </w:t>
      </w:r>
      <w:r w:rsidRPr="003979CE">
        <w:rPr>
          <w:rFonts w:ascii="Poppins" w:hAnsi="Poppins" w:cs="Poppins"/>
          <w:b/>
          <w:bCs/>
        </w:rPr>
        <w:t>ország gazdasági helyzetére vonatkozó várakozások</w:t>
      </w:r>
      <w:r w:rsidRPr="00771FAA">
        <w:rPr>
          <w:rFonts w:ascii="Poppins" w:hAnsi="Poppins" w:cs="Poppins"/>
          <w:b/>
          <w:bCs/>
        </w:rPr>
        <w:t xml:space="preserve"> nemcsak a gazdasági fundamentumokat, hanem a politikai ciklusokat is tükrözi</w:t>
      </w:r>
      <w:r>
        <w:rPr>
          <w:rFonts w:ascii="Poppins" w:hAnsi="Poppins" w:cs="Poppins"/>
          <w:b/>
          <w:bCs/>
        </w:rPr>
        <w:t>k</w:t>
      </w:r>
      <w:r w:rsidRPr="00AA3FDA">
        <w:rPr>
          <w:rFonts w:ascii="Poppins" w:hAnsi="Poppins" w:cs="Poppins"/>
        </w:rPr>
        <w:t xml:space="preserve">: a legtöbb esetben a mutató a választásokat megelőző hónapokban lokális maximum közelébe emelkedik. Ez a minta részben azzal magyarázható, hogy a választások előtt jellemzően erősödik a gazdasági élénkítés (pl. fiskális lazítás, jövedelemnövelő intézkedések), valamint intenzívebb a pozitív kormányzati kommunikáció, ami javítja a lakosság rövid távú várakozásait. Emellett a bizonytalanság átmeneti csökkenése és a „jobb jövő” ígérete is hozzájárul ahhoz, hogy a gazdasági kilátások megítélése ilyenkor kedvezőbbé válik. </w:t>
      </w:r>
    </w:p>
    <w:p w14:paraId="48F2FD3B" w14:textId="77777777" w:rsidR="00DF41CA" w:rsidRDefault="00DF41CA" w:rsidP="00DF41CA">
      <w:pPr>
        <w:spacing w:before="120" w:after="120"/>
        <w:jc w:val="both"/>
        <w:rPr>
          <w:rFonts w:ascii="Poppins" w:hAnsi="Poppins" w:cs="Poppins"/>
        </w:rPr>
      </w:pPr>
      <w:r w:rsidRPr="00462591">
        <w:rPr>
          <w:rFonts w:ascii="Poppins" w:hAnsi="Poppins" w:cs="Poppins"/>
          <w:b/>
          <w:bCs/>
        </w:rPr>
        <w:t>A teljes fogyasztói bizalmi index szintén jellemzően emelkedő trendet mutat a választásokhoz közeledve.</w:t>
      </w:r>
      <w:r>
        <w:rPr>
          <w:rFonts w:ascii="Poppins" w:hAnsi="Poppins" w:cs="Poppins"/>
        </w:rPr>
        <w:t xml:space="preserve"> Az üzleti várakozásokat viszont alapvetően a globális gazdasági hatások alakítják, ezért </w:t>
      </w:r>
      <w:r w:rsidRPr="00462591">
        <w:rPr>
          <w:rFonts w:ascii="Poppins" w:hAnsi="Poppins" w:cs="Poppins"/>
          <w:b/>
          <w:bCs/>
        </w:rPr>
        <w:t>az üzleti bizalmi indexet kisebb mértékben befolyásolja a választási ciklus.</w:t>
      </w:r>
      <w:r>
        <w:rPr>
          <w:rFonts w:ascii="Poppins" w:hAnsi="Poppins" w:cs="Poppins"/>
        </w:rPr>
        <w:t xml:space="preserve"> E hatás megalapozottságát erősíti az, hogy a fogyasztói és a kereskedelmi bizalmi index között szoros </w:t>
      </w:r>
      <w:proofErr w:type="spellStart"/>
      <w:r>
        <w:rPr>
          <w:rFonts w:ascii="Poppins" w:hAnsi="Poppins" w:cs="Poppins"/>
        </w:rPr>
        <w:t>együttmozgás</w:t>
      </w:r>
      <w:proofErr w:type="spellEnd"/>
      <w:r>
        <w:rPr>
          <w:rFonts w:ascii="Poppins" w:hAnsi="Poppins" w:cs="Poppins"/>
        </w:rPr>
        <w:t xml:space="preserve"> figyelhető meg. Így a javuló lakossági várakozások közvetve az üzleti hangulat növekedése irányába hatnak. </w:t>
      </w:r>
    </w:p>
    <w:p w14:paraId="2CE99F2E" w14:textId="77777777" w:rsidR="00DF41CA" w:rsidRPr="00CC516B" w:rsidRDefault="00DF41CA" w:rsidP="00DF41CA">
      <w:pPr>
        <w:spacing w:before="120" w:after="120" w:line="259" w:lineRule="auto"/>
        <w:jc w:val="center"/>
        <w:rPr>
          <w:rFonts w:ascii="Poppins" w:hAnsi="Poppins" w:cs="Poppins"/>
          <w:b/>
          <w:bCs/>
        </w:rPr>
      </w:pPr>
      <w:r w:rsidRPr="00CC516B">
        <w:rPr>
          <w:rFonts w:ascii="Poppins" w:hAnsi="Poppins" w:cs="Poppins"/>
          <w:b/>
          <w:bCs/>
        </w:rPr>
        <w:t>A GKI fogyasztói és üzleti bizalmi indexe, 1993-2026</w:t>
      </w:r>
    </w:p>
    <w:p w14:paraId="198C71AB" w14:textId="77777777" w:rsidR="00DF41CA" w:rsidRDefault="00DF41CA" w:rsidP="00DF41CA">
      <w:pPr>
        <w:spacing w:before="120" w:after="120" w:line="259" w:lineRule="auto"/>
        <w:jc w:val="center"/>
        <w:rPr>
          <w:rFonts w:ascii="Poppins" w:hAnsi="Poppins" w:cs="Poppins"/>
        </w:rPr>
      </w:pPr>
      <w:r w:rsidRPr="009A2FD1">
        <w:rPr>
          <w:rFonts w:ascii="Poppins" w:hAnsi="Poppins" w:cs="Poppins"/>
        </w:rPr>
        <w:t xml:space="preserve"> </w:t>
      </w:r>
      <w:r w:rsidRPr="001571FD">
        <w:rPr>
          <w:noProof/>
        </w:rPr>
        <w:drawing>
          <wp:inline distT="0" distB="0" distL="0" distR="0" wp14:anchorId="565209A8" wp14:editId="244961E7">
            <wp:extent cx="4405735" cy="2880000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05735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16B50" w14:textId="77777777" w:rsidR="00DF41CA" w:rsidRPr="0034564E" w:rsidRDefault="00DF41CA" w:rsidP="00DF41CA">
      <w:pPr>
        <w:spacing w:before="120" w:after="120" w:line="259" w:lineRule="auto"/>
        <w:rPr>
          <w:rFonts w:ascii="Poppins" w:hAnsi="Poppins" w:cs="Poppins"/>
          <w:b/>
          <w:u w:val="single"/>
        </w:rPr>
      </w:pPr>
    </w:p>
    <w:p w14:paraId="185AC9ED" w14:textId="77777777" w:rsidR="00EF1237" w:rsidRDefault="00EF1237">
      <w:pPr>
        <w:rPr>
          <w:rFonts w:ascii="Poppins" w:hAnsi="Poppins" w:cs="Poppins"/>
          <w:b/>
          <w:bCs/>
        </w:rPr>
      </w:pPr>
      <w:r>
        <w:rPr>
          <w:rFonts w:ascii="Poppins" w:hAnsi="Poppins" w:cs="Poppins"/>
          <w:b/>
          <w:bCs/>
        </w:rPr>
        <w:br w:type="page"/>
      </w:r>
    </w:p>
    <w:p w14:paraId="37AEACC3" w14:textId="78315A1C" w:rsidR="00DF41CA" w:rsidRPr="0034564E" w:rsidRDefault="00DF41CA" w:rsidP="00DF41CA">
      <w:pPr>
        <w:spacing w:before="120" w:after="120" w:line="259" w:lineRule="auto"/>
        <w:rPr>
          <w:rFonts w:ascii="Poppins" w:hAnsi="Poppins" w:cs="Poppins"/>
          <w:b/>
          <w:bCs/>
        </w:rPr>
      </w:pPr>
      <w:r w:rsidRPr="0034564E">
        <w:rPr>
          <w:rFonts w:ascii="Poppins" w:hAnsi="Poppins" w:cs="Poppins"/>
          <w:b/>
          <w:bCs/>
        </w:rPr>
        <w:lastRenderedPageBreak/>
        <w:t>Az ábrák adatai megtalálhatók a mellékelt Excel-állományban.</w:t>
      </w:r>
    </w:p>
    <w:p w14:paraId="4326805E" w14:textId="77777777" w:rsidR="00DF41CA" w:rsidRPr="00DF41CA" w:rsidRDefault="00DF41CA" w:rsidP="00DF41CA">
      <w:pPr>
        <w:pStyle w:val="Heading1"/>
        <w:spacing w:before="120" w:line="259" w:lineRule="auto"/>
        <w:rPr>
          <w:rFonts w:ascii="Poppins" w:hAnsi="Poppins" w:cs="Poppins"/>
          <w:b/>
          <w:bCs/>
          <w:smallCaps/>
          <w:color w:val="0000FF"/>
          <w:sz w:val="22"/>
          <w:szCs w:val="22"/>
        </w:rPr>
      </w:pPr>
      <w:r w:rsidRPr="00DF41CA">
        <w:rPr>
          <w:rFonts w:ascii="Poppins" w:hAnsi="Poppins" w:cs="Poppins"/>
          <w:b/>
          <w:bCs/>
          <w:smallCaps/>
          <w:color w:val="0000FF"/>
          <w:sz w:val="22"/>
          <w:szCs w:val="22"/>
        </w:rPr>
        <w:t>Módszertani magyarázat:</w:t>
      </w:r>
    </w:p>
    <w:p w14:paraId="37177396" w14:textId="77777777" w:rsidR="00DF41CA" w:rsidRDefault="00DF41CA" w:rsidP="00DF41CA">
      <w:pPr>
        <w:pStyle w:val="BodyText"/>
        <w:spacing w:before="120" w:line="240" w:lineRule="auto"/>
        <w:rPr>
          <w:rFonts w:ascii="Poppins" w:hAnsi="Poppins" w:cs="Poppins"/>
          <w:color w:val="000000"/>
        </w:rPr>
      </w:pPr>
      <w:r w:rsidRPr="00952BD1">
        <w:rPr>
          <w:rFonts w:ascii="Poppins" w:hAnsi="Poppins" w:cs="Poppins"/>
          <w:color w:val="000000"/>
        </w:rPr>
        <w:t xml:space="preserve">A GKI Gazdaságkutató Zrt. – az Európai Bizottság módszertanának megfelelően – konjunktúra-indexének kiszámításakor az üzleti szféra és a lakosság (azaz a fogyasztók) várakozásait veszi figyelembe: a </w:t>
      </w:r>
      <w:r w:rsidRPr="00952BD1">
        <w:rPr>
          <w:rFonts w:ascii="Poppins" w:hAnsi="Poppins" w:cs="Poppins"/>
          <w:b/>
          <w:bCs/>
          <w:color w:val="000000"/>
        </w:rPr>
        <w:t>GKI konjunktúraindex</w:t>
      </w:r>
      <w:r w:rsidRPr="00952BD1">
        <w:rPr>
          <w:rFonts w:ascii="Poppins" w:hAnsi="Poppins" w:cs="Poppins"/>
          <w:color w:val="000000"/>
        </w:rPr>
        <w:t xml:space="preserve"> a fogyasztói bizalmi index és az üzleti bizalmi index súlyozott átlaga. </w:t>
      </w:r>
    </w:p>
    <w:p w14:paraId="19BA0861" w14:textId="77777777" w:rsidR="00DF41CA" w:rsidRDefault="00DF41CA" w:rsidP="00DF41CA">
      <w:pPr>
        <w:pStyle w:val="BodyText"/>
        <w:spacing w:before="120" w:line="240" w:lineRule="auto"/>
        <w:rPr>
          <w:rFonts w:ascii="Poppins" w:hAnsi="Poppins" w:cs="Poppins"/>
          <w:color w:val="000000"/>
        </w:rPr>
      </w:pPr>
      <w:r w:rsidRPr="00952BD1">
        <w:rPr>
          <w:rFonts w:ascii="Poppins" w:hAnsi="Poppins" w:cs="Poppins"/>
          <w:color w:val="000000"/>
        </w:rPr>
        <w:t xml:space="preserve">A </w:t>
      </w:r>
      <w:r w:rsidRPr="00952BD1">
        <w:rPr>
          <w:rFonts w:ascii="Poppins" w:hAnsi="Poppins" w:cs="Poppins"/>
          <w:b/>
          <w:bCs/>
          <w:color w:val="000000"/>
        </w:rPr>
        <w:t>GKI üzleti bizalmi index</w:t>
      </w:r>
      <w:r w:rsidRPr="00952BD1">
        <w:rPr>
          <w:rFonts w:ascii="Poppins" w:hAnsi="Poppins" w:cs="Poppins"/>
          <w:color w:val="000000"/>
        </w:rPr>
        <w:t xml:space="preserve"> az ipari, a kereskedelmi, az építőipari és a szolgáltató bizalmi index súlyozott átlaga. </w:t>
      </w:r>
    </w:p>
    <w:p w14:paraId="10E01E46" w14:textId="77777777" w:rsidR="00DF41CA" w:rsidRDefault="00DF41CA" w:rsidP="00DF41CA">
      <w:pPr>
        <w:pStyle w:val="BodyText"/>
        <w:spacing w:before="120" w:line="240" w:lineRule="auto"/>
        <w:rPr>
          <w:rFonts w:ascii="Poppins" w:hAnsi="Poppins" w:cs="Poppins"/>
          <w:color w:val="000000"/>
        </w:rPr>
      </w:pPr>
      <w:r w:rsidRPr="00952BD1">
        <w:rPr>
          <w:rFonts w:ascii="Poppins" w:hAnsi="Poppins" w:cs="Poppins"/>
          <w:color w:val="000000"/>
        </w:rPr>
        <w:t xml:space="preserve">A </w:t>
      </w:r>
      <w:r w:rsidRPr="00952BD1">
        <w:rPr>
          <w:rFonts w:ascii="Poppins" w:hAnsi="Poppins" w:cs="Poppins"/>
          <w:b/>
          <w:bCs/>
          <w:color w:val="000000"/>
        </w:rPr>
        <w:t>foglalkoztatási indikátor</w:t>
      </w:r>
      <w:r w:rsidRPr="00952BD1">
        <w:rPr>
          <w:rFonts w:ascii="Poppins" w:hAnsi="Poppins" w:cs="Poppins"/>
          <w:color w:val="000000"/>
        </w:rPr>
        <w:t xml:space="preserve"> a következő három hónapban az alkalmazotti létszám növelését, illetve annak csökkentését tervező cégek arányának különbsége.  </w:t>
      </w:r>
    </w:p>
    <w:p w14:paraId="00F61D47" w14:textId="77777777" w:rsidR="00DF41CA" w:rsidRDefault="00DF41CA" w:rsidP="00DF41CA">
      <w:pPr>
        <w:pStyle w:val="BodyText"/>
        <w:spacing w:before="120" w:line="240" w:lineRule="auto"/>
        <w:rPr>
          <w:rFonts w:ascii="Poppins" w:hAnsi="Poppins" w:cs="Poppins"/>
          <w:color w:val="000000"/>
        </w:rPr>
      </w:pPr>
      <w:r w:rsidRPr="00952BD1">
        <w:rPr>
          <w:rFonts w:ascii="Poppins" w:hAnsi="Poppins" w:cs="Poppins"/>
          <w:color w:val="000000"/>
        </w:rPr>
        <w:t xml:space="preserve">Az </w:t>
      </w:r>
      <w:r w:rsidRPr="00952BD1">
        <w:rPr>
          <w:rFonts w:ascii="Poppins" w:hAnsi="Poppins" w:cs="Poppins"/>
          <w:b/>
          <w:bCs/>
          <w:color w:val="000000"/>
        </w:rPr>
        <w:t>ár indikátor</w:t>
      </w:r>
      <w:r w:rsidRPr="00952BD1">
        <w:rPr>
          <w:rFonts w:ascii="Poppins" w:hAnsi="Poppins" w:cs="Poppins"/>
          <w:color w:val="000000"/>
        </w:rPr>
        <w:t xml:space="preserve"> a következő három hónapban az értékesítési árak növelését, illetve annak csökkentését tervező cégek arányának különbsége. </w:t>
      </w:r>
    </w:p>
    <w:p w14:paraId="7CCDE8F5" w14:textId="77777777" w:rsidR="00DF41CA" w:rsidRPr="00952BD1" w:rsidRDefault="00DF41CA" w:rsidP="00DF41CA">
      <w:pPr>
        <w:pStyle w:val="BodyText"/>
        <w:spacing w:before="120" w:line="240" w:lineRule="auto"/>
        <w:rPr>
          <w:rFonts w:ascii="Poppins" w:hAnsi="Poppins" w:cs="Poppins"/>
          <w:color w:val="000000"/>
        </w:rPr>
      </w:pPr>
      <w:r w:rsidRPr="00952BD1">
        <w:rPr>
          <w:rFonts w:ascii="Poppins" w:hAnsi="Poppins" w:cs="Poppins"/>
          <w:color w:val="000000"/>
        </w:rPr>
        <w:t xml:space="preserve">A </w:t>
      </w:r>
      <w:r w:rsidRPr="00952BD1">
        <w:rPr>
          <w:rFonts w:ascii="Poppins" w:hAnsi="Poppins" w:cs="Poppins"/>
          <w:b/>
          <w:bCs/>
          <w:color w:val="000000"/>
        </w:rPr>
        <w:t>GKI fogyasztói bizalmi index</w:t>
      </w:r>
      <w:r w:rsidRPr="00952BD1">
        <w:rPr>
          <w:rFonts w:ascii="Poppins" w:hAnsi="Poppins" w:cs="Poppins"/>
          <w:color w:val="000000"/>
        </w:rPr>
        <w:t xml:space="preserve"> a háztartások pénzügyi helyzetének megítélését az elmúlt 12 hóban, a pénzügyi kilátásokat a következő 12 hónapra vonatkozóan, az ország gazdasági helyzetének várt alakulását, illetve a tartós fogyasztási cikkek vásárlására vonatkozó kilátásokat firtató kérdésekre adott válaszokból számított egyenleg-mutatók számtani átlaga. A GKI </w:t>
      </w:r>
      <w:r w:rsidRPr="00952BD1">
        <w:rPr>
          <w:rFonts w:ascii="Poppins" w:hAnsi="Poppins" w:cs="Poppins"/>
          <w:b/>
          <w:bCs/>
          <w:color w:val="000000"/>
        </w:rPr>
        <w:t>szezonálisan kiigazított adatokat közöl</w:t>
      </w:r>
      <w:r w:rsidRPr="00952BD1">
        <w:rPr>
          <w:rFonts w:ascii="Poppins" w:hAnsi="Poppins" w:cs="Poppins"/>
          <w:color w:val="000000"/>
        </w:rPr>
        <w:t xml:space="preserve">, azaz a megfelelő matematikai módszerrel kiszűri a szezonális hatások – például a karácsony előtti nagyobb kereslet, a nyári szabadságok miatti kisebb termelés – okozta eltéréseket. </w:t>
      </w:r>
    </w:p>
    <w:p w14:paraId="31A88BCC" w14:textId="77777777" w:rsidR="00DF41CA" w:rsidRDefault="00DF41CA" w:rsidP="00AA7B61">
      <w:pPr>
        <w:spacing w:before="120" w:after="120" w:line="259" w:lineRule="auto"/>
        <w:rPr>
          <w:rFonts w:ascii="Poppins" w:hAnsi="Poppins" w:cs="Poppins"/>
          <w:bCs/>
        </w:rPr>
      </w:pPr>
    </w:p>
    <w:p w14:paraId="00B24C67" w14:textId="1A0110C6" w:rsidR="00FF191E" w:rsidRPr="00AA7B61" w:rsidRDefault="00AA7B61" w:rsidP="00AA7B61">
      <w:pPr>
        <w:pStyle w:val="BodyText"/>
        <w:spacing w:before="120"/>
        <w:rPr>
          <w:rFonts w:ascii="Poppins" w:hAnsi="Poppins" w:cs="Poppins"/>
          <w:color w:val="000000"/>
          <w:sz w:val="18"/>
          <w:szCs w:val="18"/>
        </w:rPr>
      </w:pPr>
      <w:r w:rsidRPr="00AA7B61">
        <w:rPr>
          <w:rFonts w:ascii="Poppins" w:hAnsi="Poppins" w:cs="Poppins"/>
          <w:color w:val="000000"/>
          <w:sz w:val="18"/>
          <w:szCs w:val="18"/>
        </w:rPr>
        <w:t xml:space="preserve"> </w:t>
      </w:r>
    </w:p>
    <w:sectPr w:rsidR="00FF191E" w:rsidRPr="00AA7B61" w:rsidSect="00334429">
      <w:headerReference w:type="default" r:id="rId18"/>
      <w:footerReference w:type="default" r:id="rId19"/>
      <w:pgSz w:w="11909" w:h="16834"/>
      <w:pgMar w:top="1440" w:right="1440" w:bottom="1440" w:left="1440" w:header="720" w:footer="62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66F40" w14:textId="77777777" w:rsidR="004066B9" w:rsidRDefault="004066B9">
      <w:pPr>
        <w:spacing w:line="240" w:lineRule="auto"/>
      </w:pPr>
      <w:r>
        <w:separator/>
      </w:r>
    </w:p>
  </w:endnote>
  <w:endnote w:type="continuationSeparator" w:id="0">
    <w:p w14:paraId="25C8498C" w14:textId="77777777" w:rsidR="004066B9" w:rsidRDefault="004066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ppins">
    <w:panose1 w:val="00000500000000000000"/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5147D" w14:textId="77777777" w:rsidR="00411BE6" w:rsidRDefault="00411BE6" w:rsidP="000C3F50">
    <w:pPr>
      <w:pStyle w:val="Footer"/>
      <w:jc w:val="center"/>
      <w:rPr>
        <w:rFonts w:ascii="Poppins" w:hAnsi="Poppins" w:cs="Poppins"/>
        <w:color w:val="7F7F7F" w:themeColor="text1" w:themeTint="80"/>
      </w:rPr>
    </w:pPr>
  </w:p>
  <w:p w14:paraId="758E2E93" w14:textId="0972514A" w:rsidR="000C3F50" w:rsidRPr="000C3F50" w:rsidRDefault="000C3F50" w:rsidP="000C3F50">
    <w:pPr>
      <w:pStyle w:val="Footer"/>
      <w:jc w:val="center"/>
      <w:rPr>
        <w:rFonts w:ascii="Poppins" w:hAnsi="Poppins" w:cs="Poppins"/>
        <w:color w:val="7F7F7F" w:themeColor="text1" w:themeTint="80"/>
      </w:rPr>
    </w:pPr>
    <w:r w:rsidRPr="000C3F50">
      <w:rPr>
        <w:rFonts w:ascii="Poppins" w:hAnsi="Poppins" w:cs="Poppins"/>
        <w:color w:val="7F7F7F" w:themeColor="text1" w:themeTint="80"/>
      </w:rPr>
      <w:t xml:space="preserve">Szerző: </w:t>
    </w:r>
    <w:r w:rsidR="00AA7B61">
      <w:rPr>
        <w:rFonts w:ascii="Poppins" w:hAnsi="Poppins" w:cs="Poppins"/>
        <w:color w:val="F79646" w:themeColor="accent6"/>
      </w:rPr>
      <w:t>Raymund</w:t>
    </w:r>
    <w:r w:rsidRPr="000C3F50">
      <w:rPr>
        <w:rFonts w:ascii="Poppins" w:hAnsi="Poppins" w:cs="Poppins"/>
        <w:color w:val="7F7F7F" w:themeColor="text1" w:themeTint="80"/>
      </w:rPr>
      <w:t xml:space="preserve">, </w:t>
    </w:r>
    <w:r w:rsidR="00AA7B61">
      <w:rPr>
        <w:rFonts w:ascii="Poppins" w:hAnsi="Poppins" w:cs="Poppins"/>
        <w:color w:val="7F7F7F" w:themeColor="text1" w:themeTint="80"/>
      </w:rPr>
      <w:t>vezető kutató</w:t>
    </w:r>
    <w:r w:rsidRPr="000C3F50">
      <w:rPr>
        <w:rFonts w:ascii="Poppins" w:hAnsi="Poppins" w:cs="Poppins"/>
        <w:color w:val="7F7F7F" w:themeColor="text1" w:themeTint="80"/>
      </w:rPr>
      <w:t>(</w:t>
    </w:r>
    <w:r w:rsidR="00AA7B61">
      <w:rPr>
        <w:rFonts w:ascii="Poppins" w:hAnsi="Poppins" w:cs="Poppins"/>
        <w:color w:val="7F7F7F" w:themeColor="text1" w:themeTint="80"/>
        <w:u w:val="single"/>
      </w:rPr>
      <w:t>petz.raymund</w:t>
    </w:r>
    <w:r w:rsidR="00411BE6" w:rsidRPr="00411BE6">
      <w:rPr>
        <w:rFonts w:ascii="Poppins" w:hAnsi="Poppins" w:cs="Poppins"/>
        <w:color w:val="7F7F7F" w:themeColor="text1" w:themeTint="80"/>
        <w:u w:val="single"/>
      </w:rPr>
      <w:t>@gki.hu</w:t>
    </w:r>
    <w:r w:rsidRPr="000C3F50">
      <w:rPr>
        <w:rFonts w:ascii="Poppins" w:hAnsi="Poppins" w:cs="Poppins"/>
        <w:color w:val="7F7F7F" w:themeColor="text1" w:themeTint="80"/>
      </w:rPr>
      <w:t>)</w:t>
    </w:r>
  </w:p>
  <w:p w14:paraId="6A9DAD1E" w14:textId="77777777" w:rsidR="000C3F50" w:rsidRPr="000C3F50" w:rsidRDefault="000C3F50" w:rsidP="000C3F50">
    <w:pPr>
      <w:pStyle w:val="Footer"/>
      <w:jc w:val="center"/>
      <w:rPr>
        <w:rFonts w:ascii="Poppins" w:hAnsi="Poppins" w:cs="Poppins"/>
        <w:color w:val="7F7F7F" w:themeColor="text1" w:themeTint="80"/>
      </w:rPr>
    </w:pPr>
    <w:r w:rsidRPr="000C3F50">
      <w:rPr>
        <w:rFonts w:ascii="Poppins" w:hAnsi="Poppins" w:cs="Poppins"/>
        <w:color w:val="7F7F7F" w:themeColor="text1" w:themeTint="80"/>
      </w:rPr>
      <w:t>További információ: Suha György Péter, +36 20 211 07 96 (</w:t>
    </w:r>
    <w:hyperlink r:id="rId1" w:history="1">
      <w:r w:rsidRPr="000C3F50">
        <w:rPr>
          <w:rStyle w:val="Hyperlink"/>
          <w:rFonts w:ascii="Poppins" w:hAnsi="Poppins" w:cs="Poppins"/>
          <w:color w:val="7F7F7F" w:themeColor="text1" w:themeTint="80"/>
        </w:rPr>
        <w:t>sajto@gki.hu</w:t>
      </w:r>
    </w:hyperlink>
    <w:r w:rsidRPr="000C3F50">
      <w:rPr>
        <w:rFonts w:ascii="Poppins" w:hAnsi="Poppins" w:cs="Poppins"/>
        <w:color w:val="7F7F7F" w:themeColor="text1" w:themeTint="80"/>
      </w:rPr>
      <w:t>)</w:t>
    </w:r>
  </w:p>
  <w:p w14:paraId="3E075182" w14:textId="77777777" w:rsidR="000C3F50" w:rsidRDefault="000C3F50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5A5CBC4" wp14:editId="5CFCA69E">
          <wp:simplePos x="0" y="0"/>
          <wp:positionH relativeFrom="margin">
            <wp:align>center</wp:align>
          </wp:positionH>
          <wp:positionV relativeFrom="paragraph">
            <wp:posOffset>172292</wp:posOffset>
          </wp:positionV>
          <wp:extent cx="1212112" cy="305496"/>
          <wp:effectExtent l="0" t="0" r="7620" b="0"/>
          <wp:wrapNone/>
          <wp:docPr id="1703906594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3906594" name="Kép 1703906594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t="41243" r="56245" b="43157"/>
                  <a:stretch>
                    <a:fillRect/>
                  </a:stretch>
                </pic:blipFill>
                <pic:spPr bwMode="auto">
                  <a:xfrm>
                    <a:off x="0" y="0"/>
                    <a:ext cx="1212112" cy="3054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FDFEA" w14:textId="77777777" w:rsidR="004066B9" w:rsidRDefault="004066B9">
      <w:pPr>
        <w:spacing w:line="240" w:lineRule="auto"/>
      </w:pPr>
      <w:r>
        <w:separator/>
      </w:r>
    </w:p>
  </w:footnote>
  <w:footnote w:type="continuationSeparator" w:id="0">
    <w:p w14:paraId="050A143D" w14:textId="77777777" w:rsidR="004066B9" w:rsidRDefault="004066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0730E" w14:textId="77777777" w:rsidR="00281426" w:rsidRDefault="0090599E">
    <w:r>
      <w:rPr>
        <w:noProof/>
      </w:rPr>
      <w:drawing>
        <wp:anchor distT="0" distB="0" distL="114300" distR="114300" simplePos="0" relativeHeight="251658240" behindDoc="0" locked="0" layoutInCell="1" allowOverlap="1" wp14:anchorId="5E6AE9B7" wp14:editId="785D3D80">
          <wp:simplePos x="0" y="0"/>
          <wp:positionH relativeFrom="page">
            <wp:posOffset>638175</wp:posOffset>
          </wp:positionH>
          <wp:positionV relativeFrom="paragraph">
            <wp:posOffset>-252095</wp:posOffset>
          </wp:positionV>
          <wp:extent cx="6477000" cy="803910"/>
          <wp:effectExtent l="0" t="0" r="0" b="0"/>
          <wp:wrapSquare wrapText="bothSides"/>
          <wp:docPr id="1442641596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641596" name="Kép 144264159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5" t="39514" r="661" b="44120"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8039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67A5F"/>
    <w:multiLevelType w:val="multilevel"/>
    <w:tmpl w:val="C3C4A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590553"/>
    <w:multiLevelType w:val="multilevel"/>
    <w:tmpl w:val="CEE0E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9706FD"/>
    <w:multiLevelType w:val="multilevel"/>
    <w:tmpl w:val="A574CEC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</w:rPr>
    </w:lvl>
  </w:abstractNum>
  <w:abstractNum w:abstractNumId="3" w15:restartNumberingAfterBreak="0">
    <w:nsid w:val="03F872EB"/>
    <w:multiLevelType w:val="multilevel"/>
    <w:tmpl w:val="C8D29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264B8C"/>
    <w:multiLevelType w:val="hybridMultilevel"/>
    <w:tmpl w:val="AC220C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41106B"/>
    <w:multiLevelType w:val="multilevel"/>
    <w:tmpl w:val="8578E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7775BA"/>
    <w:multiLevelType w:val="multilevel"/>
    <w:tmpl w:val="4E5E0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165496"/>
    <w:multiLevelType w:val="multilevel"/>
    <w:tmpl w:val="A6DA9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4A1C29"/>
    <w:multiLevelType w:val="multilevel"/>
    <w:tmpl w:val="FE048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303C7F"/>
    <w:multiLevelType w:val="hybridMultilevel"/>
    <w:tmpl w:val="158CE5B2"/>
    <w:lvl w:ilvl="0" w:tplc="7B9A5240">
      <w:start w:val="1"/>
      <w:numFmt w:val="decimal"/>
      <w:lvlText w:val="%1."/>
      <w:lvlJc w:val="left"/>
      <w:pPr>
        <w:ind w:left="720" w:hanging="360"/>
      </w:pPr>
      <w:rPr>
        <w:rFonts w:ascii="Poppins" w:eastAsia="Arial" w:hAnsi="Poppins" w:cs="Poppins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F0883"/>
    <w:multiLevelType w:val="multilevel"/>
    <w:tmpl w:val="4EA6C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DE0514"/>
    <w:multiLevelType w:val="multilevel"/>
    <w:tmpl w:val="19EE1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9A511BD"/>
    <w:multiLevelType w:val="hybridMultilevel"/>
    <w:tmpl w:val="0A5493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873153"/>
    <w:multiLevelType w:val="multilevel"/>
    <w:tmpl w:val="09263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227728"/>
    <w:multiLevelType w:val="multilevel"/>
    <w:tmpl w:val="3B408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65152B"/>
    <w:multiLevelType w:val="hybridMultilevel"/>
    <w:tmpl w:val="A2F406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6144AA"/>
    <w:multiLevelType w:val="multilevel"/>
    <w:tmpl w:val="DE169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0040C5"/>
    <w:multiLevelType w:val="multilevel"/>
    <w:tmpl w:val="3468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3A79D7"/>
    <w:multiLevelType w:val="multilevel"/>
    <w:tmpl w:val="1A769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027E9D"/>
    <w:multiLevelType w:val="multilevel"/>
    <w:tmpl w:val="29CE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0A4B73"/>
    <w:multiLevelType w:val="multilevel"/>
    <w:tmpl w:val="8578E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0B5380"/>
    <w:multiLevelType w:val="multilevel"/>
    <w:tmpl w:val="29307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D97EA1"/>
    <w:multiLevelType w:val="multilevel"/>
    <w:tmpl w:val="6CDCB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CD6852"/>
    <w:multiLevelType w:val="multilevel"/>
    <w:tmpl w:val="B1E06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CA30A45"/>
    <w:multiLevelType w:val="hybridMultilevel"/>
    <w:tmpl w:val="3230B4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4229EB"/>
    <w:multiLevelType w:val="multilevel"/>
    <w:tmpl w:val="8578E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601510"/>
    <w:multiLevelType w:val="multilevel"/>
    <w:tmpl w:val="6AA0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F033D4"/>
    <w:multiLevelType w:val="multilevel"/>
    <w:tmpl w:val="07F47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0858EE"/>
    <w:multiLevelType w:val="multilevel"/>
    <w:tmpl w:val="DFFEB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C62091B"/>
    <w:multiLevelType w:val="multilevel"/>
    <w:tmpl w:val="E2986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720849"/>
    <w:multiLevelType w:val="multilevel"/>
    <w:tmpl w:val="10B40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837DB8"/>
    <w:multiLevelType w:val="multilevel"/>
    <w:tmpl w:val="BF36F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CF51D8"/>
    <w:multiLevelType w:val="multilevel"/>
    <w:tmpl w:val="1DF6D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17719E2"/>
    <w:multiLevelType w:val="multilevel"/>
    <w:tmpl w:val="31A26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3856E74"/>
    <w:multiLevelType w:val="multilevel"/>
    <w:tmpl w:val="4C642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4406C21"/>
    <w:multiLevelType w:val="multilevel"/>
    <w:tmpl w:val="D7F43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EEC3CF5"/>
    <w:multiLevelType w:val="multilevel"/>
    <w:tmpl w:val="AA2C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CC3E09"/>
    <w:multiLevelType w:val="hybridMultilevel"/>
    <w:tmpl w:val="326A94A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0A3B43"/>
    <w:multiLevelType w:val="multilevel"/>
    <w:tmpl w:val="8B326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3836A6D"/>
    <w:multiLevelType w:val="multilevel"/>
    <w:tmpl w:val="302E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46B27DB"/>
    <w:multiLevelType w:val="multilevel"/>
    <w:tmpl w:val="69706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AE7302"/>
    <w:multiLevelType w:val="multilevel"/>
    <w:tmpl w:val="CA522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C62246"/>
    <w:multiLevelType w:val="multilevel"/>
    <w:tmpl w:val="419E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DE5525"/>
    <w:multiLevelType w:val="multilevel"/>
    <w:tmpl w:val="6980A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2F15751"/>
    <w:multiLevelType w:val="multilevel"/>
    <w:tmpl w:val="FC2CD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7386796"/>
    <w:multiLevelType w:val="hybridMultilevel"/>
    <w:tmpl w:val="8B0A6B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1257453">
    <w:abstractNumId w:val="30"/>
  </w:num>
  <w:num w:numId="2" w16cid:durableId="1923484782">
    <w:abstractNumId w:val="40"/>
  </w:num>
  <w:num w:numId="3" w16cid:durableId="406340212">
    <w:abstractNumId w:val="3"/>
  </w:num>
  <w:num w:numId="4" w16cid:durableId="1051539397">
    <w:abstractNumId w:val="8"/>
  </w:num>
  <w:num w:numId="5" w16cid:durableId="1414932169">
    <w:abstractNumId w:val="27"/>
  </w:num>
  <w:num w:numId="6" w16cid:durableId="1108038964">
    <w:abstractNumId w:val="17"/>
  </w:num>
  <w:num w:numId="7" w16cid:durableId="499589347">
    <w:abstractNumId w:val="38"/>
  </w:num>
  <w:num w:numId="8" w16cid:durableId="1227452325">
    <w:abstractNumId w:val="39"/>
  </w:num>
  <w:num w:numId="9" w16cid:durableId="2103800367">
    <w:abstractNumId w:val="36"/>
  </w:num>
  <w:num w:numId="10" w16cid:durableId="947271987">
    <w:abstractNumId w:val="22"/>
  </w:num>
  <w:num w:numId="11" w16cid:durableId="159734948">
    <w:abstractNumId w:val="16"/>
  </w:num>
  <w:num w:numId="12" w16cid:durableId="1158571063">
    <w:abstractNumId w:val="28"/>
  </w:num>
  <w:num w:numId="13" w16cid:durableId="1824928288">
    <w:abstractNumId w:val="33"/>
  </w:num>
  <w:num w:numId="14" w16cid:durableId="90662513">
    <w:abstractNumId w:val="19"/>
  </w:num>
  <w:num w:numId="15" w16cid:durableId="1649630620">
    <w:abstractNumId w:val="34"/>
  </w:num>
  <w:num w:numId="16" w16cid:durableId="1405374714">
    <w:abstractNumId w:val="41"/>
  </w:num>
  <w:num w:numId="17" w16cid:durableId="1220702105">
    <w:abstractNumId w:val="31"/>
  </w:num>
  <w:num w:numId="18" w16cid:durableId="1892881017">
    <w:abstractNumId w:val="6"/>
  </w:num>
  <w:num w:numId="19" w16cid:durableId="681128595">
    <w:abstractNumId w:val="37"/>
  </w:num>
  <w:num w:numId="20" w16cid:durableId="1210189454">
    <w:abstractNumId w:val="20"/>
  </w:num>
  <w:num w:numId="21" w16cid:durableId="1159536062">
    <w:abstractNumId w:val="24"/>
  </w:num>
  <w:num w:numId="22" w16cid:durableId="74985902">
    <w:abstractNumId w:val="5"/>
  </w:num>
  <w:num w:numId="23" w16cid:durableId="1697998134">
    <w:abstractNumId w:val="9"/>
  </w:num>
  <w:num w:numId="24" w16cid:durableId="1937129020">
    <w:abstractNumId w:val="4"/>
  </w:num>
  <w:num w:numId="25" w16cid:durableId="1276133338">
    <w:abstractNumId w:val="25"/>
  </w:num>
  <w:num w:numId="26" w16cid:durableId="839581838">
    <w:abstractNumId w:val="12"/>
  </w:num>
  <w:num w:numId="27" w16cid:durableId="427819081">
    <w:abstractNumId w:val="15"/>
  </w:num>
  <w:num w:numId="28" w16cid:durableId="558975805">
    <w:abstractNumId w:val="2"/>
  </w:num>
  <w:num w:numId="29" w16cid:durableId="272592097">
    <w:abstractNumId w:val="42"/>
  </w:num>
  <w:num w:numId="30" w16cid:durableId="1043559983">
    <w:abstractNumId w:val="32"/>
  </w:num>
  <w:num w:numId="31" w16cid:durableId="1211921483">
    <w:abstractNumId w:val="26"/>
  </w:num>
  <w:num w:numId="32" w16cid:durableId="1379815139">
    <w:abstractNumId w:val="21"/>
  </w:num>
  <w:num w:numId="33" w16cid:durableId="1103645513">
    <w:abstractNumId w:val="11"/>
  </w:num>
  <w:num w:numId="34" w16cid:durableId="1064985034">
    <w:abstractNumId w:val="44"/>
  </w:num>
  <w:num w:numId="35" w16cid:durableId="2037269463">
    <w:abstractNumId w:val="23"/>
  </w:num>
  <w:num w:numId="36" w16cid:durableId="1174414414">
    <w:abstractNumId w:val="29"/>
  </w:num>
  <w:num w:numId="37" w16cid:durableId="1763991505">
    <w:abstractNumId w:val="7"/>
  </w:num>
  <w:num w:numId="38" w16cid:durableId="1819496709">
    <w:abstractNumId w:val="14"/>
  </w:num>
  <w:num w:numId="39" w16cid:durableId="2047831675">
    <w:abstractNumId w:val="0"/>
  </w:num>
  <w:num w:numId="40" w16cid:durableId="1876380707">
    <w:abstractNumId w:val="18"/>
  </w:num>
  <w:num w:numId="41" w16cid:durableId="1710108567">
    <w:abstractNumId w:val="13"/>
  </w:num>
  <w:num w:numId="42" w16cid:durableId="200754686">
    <w:abstractNumId w:val="1"/>
  </w:num>
  <w:num w:numId="43" w16cid:durableId="933787187">
    <w:abstractNumId w:val="43"/>
  </w:num>
  <w:num w:numId="44" w16cid:durableId="1699886290">
    <w:abstractNumId w:val="35"/>
  </w:num>
  <w:num w:numId="45" w16cid:durableId="815220555">
    <w:abstractNumId w:val="10"/>
  </w:num>
  <w:num w:numId="46" w16cid:durableId="1719430594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26"/>
    <w:rsid w:val="000347A7"/>
    <w:rsid w:val="000353A2"/>
    <w:rsid w:val="000A54B0"/>
    <w:rsid w:val="000C3F50"/>
    <w:rsid w:val="000F41B7"/>
    <w:rsid w:val="00105D38"/>
    <w:rsid w:val="00155B32"/>
    <w:rsid w:val="00166FAC"/>
    <w:rsid w:val="00195530"/>
    <w:rsid w:val="001B1A9A"/>
    <w:rsid w:val="002677A4"/>
    <w:rsid w:val="00281426"/>
    <w:rsid w:val="002B2533"/>
    <w:rsid w:val="002B356E"/>
    <w:rsid w:val="002F05C2"/>
    <w:rsid w:val="002F4205"/>
    <w:rsid w:val="002F6B5A"/>
    <w:rsid w:val="00301481"/>
    <w:rsid w:val="00334429"/>
    <w:rsid w:val="003805F3"/>
    <w:rsid w:val="00382AFE"/>
    <w:rsid w:val="003A1C43"/>
    <w:rsid w:val="003C32B8"/>
    <w:rsid w:val="003E3CEF"/>
    <w:rsid w:val="004055A8"/>
    <w:rsid w:val="004066B9"/>
    <w:rsid w:val="00411BE6"/>
    <w:rsid w:val="0041549C"/>
    <w:rsid w:val="0044001D"/>
    <w:rsid w:val="00457549"/>
    <w:rsid w:val="00462A79"/>
    <w:rsid w:val="00521515"/>
    <w:rsid w:val="005231C4"/>
    <w:rsid w:val="00580735"/>
    <w:rsid w:val="005D1FD0"/>
    <w:rsid w:val="005D20B7"/>
    <w:rsid w:val="0060493D"/>
    <w:rsid w:val="0061433C"/>
    <w:rsid w:val="00665341"/>
    <w:rsid w:val="00697640"/>
    <w:rsid w:val="0070403C"/>
    <w:rsid w:val="00735F0E"/>
    <w:rsid w:val="00746116"/>
    <w:rsid w:val="0078306E"/>
    <w:rsid w:val="007910EE"/>
    <w:rsid w:val="007E4BC6"/>
    <w:rsid w:val="007F39F2"/>
    <w:rsid w:val="008343C5"/>
    <w:rsid w:val="008705E1"/>
    <w:rsid w:val="008C7DA8"/>
    <w:rsid w:val="00904601"/>
    <w:rsid w:val="0090599E"/>
    <w:rsid w:val="00953F41"/>
    <w:rsid w:val="009F6FBB"/>
    <w:rsid w:val="00A06B36"/>
    <w:rsid w:val="00A3094A"/>
    <w:rsid w:val="00A82135"/>
    <w:rsid w:val="00A86227"/>
    <w:rsid w:val="00AA008E"/>
    <w:rsid w:val="00AA7B61"/>
    <w:rsid w:val="00AB33C9"/>
    <w:rsid w:val="00AC2069"/>
    <w:rsid w:val="00AC6225"/>
    <w:rsid w:val="00B14322"/>
    <w:rsid w:val="00BE4E86"/>
    <w:rsid w:val="00C25B8F"/>
    <w:rsid w:val="00C725BB"/>
    <w:rsid w:val="00C80B43"/>
    <w:rsid w:val="00C80E3B"/>
    <w:rsid w:val="00C92238"/>
    <w:rsid w:val="00CA38B5"/>
    <w:rsid w:val="00CA6D77"/>
    <w:rsid w:val="00CA75B6"/>
    <w:rsid w:val="00CF10EA"/>
    <w:rsid w:val="00D378A9"/>
    <w:rsid w:val="00D90023"/>
    <w:rsid w:val="00DA3013"/>
    <w:rsid w:val="00DA7329"/>
    <w:rsid w:val="00DC052A"/>
    <w:rsid w:val="00DE1E2F"/>
    <w:rsid w:val="00DF41CA"/>
    <w:rsid w:val="00DF5DF2"/>
    <w:rsid w:val="00DF7E12"/>
    <w:rsid w:val="00E962C5"/>
    <w:rsid w:val="00EB35C6"/>
    <w:rsid w:val="00EC1EDD"/>
    <w:rsid w:val="00ED5B5B"/>
    <w:rsid w:val="00ED7AAA"/>
    <w:rsid w:val="00EF1237"/>
    <w:rsid w:val="00F07A22"/>
    <w:rsid w:val="00F85CA8"/>
    <w:rsid w:val="00F8741E"/>
    <w:rsid w:val="00FB041D"/>
    <w:rsid w:val="00FF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829523"/>
  <w15:docId w15:val="{6F144FA7-22F1-41CB-8C16-AA1A79D82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hu" w:eastAsia="hu-H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155B3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hu-HU" w:eastAsia="en-US"/>
      <w14:ligatures w14:val="standardContextual"/>
    </w:rPr>
  </w:style>
  <w:style w:type="character" w:styleId="Strong">
    <w:name w:val="Strong"/>
    <w:basedOn w:val="DefaultParagraphFont"/>
    <w:uiPriority w:val="22"/>
    <w:qFormat/>
    <w:rsid w:val="0044001D"/>
    <w:rPr>
      <w:b/>
      <w:bCs/>
    </w:rPr>
  </w:style>
  <w:style w:type="character" w:styleId="Hyperlink">
    <w:name w:val="Hyperlink"/>
    <w:basedOn w:val="DefaultParagraphFont"/>
    <w:uiPriority w:val="99"/>
    <w:unhideWhenUsed/>
    <w:rsid w:val="00462A7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2A7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34429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4429"/>
  </w:style>
  <w:style w:type="paragraph" w:styleId="Footer">
    <w:name w:val="footer"/>
    <w:basedOn w:val="Normal"/>
    <w:link w:val="FooterChar"/>
    <w:uiPriority w:val="99"/>
    <w:unhideWhenUsed/>
    <w:rsid w:val="00334429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4429"/>
  </w:style>
  <w:style w:type="paragraph" w:styleId="CommentText">
    <w:name w:val="annotation text"/>
    <w:basedOn w:val="Normal"/>
    <w:link w:val="CommentTextChar"/>
    <w:uiPriority w:val="99"/>
    <w:semiHidden/>
    <w:unhideWhenUsed/>
    <w:rsid w:val="00166FAC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6FAC"/>
    <w:rPr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66FAC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411BE6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uiPriority w:val="99"/>
    <w:rsid w:val="00AA7B61"/>
    <w:pPr>
      <w:spacing w:after="120"/>
      <w:jc w:val="both"/>
    </w:pPr>
    <w:rPr>
      <w:rFonts w:ascii="Candara" w:eastAsia="Times New Roman" w:hAnsi="Candara" w:cs="Times New Roman"/>
      <w:color w:val="262626"/>
      <w:lang w:val="hu-HU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AA7B61"/>
    <w:rPr>
      <w:rFonts w:ascii="Candara" w:eastAsia="Times New Roman" w:hAnsi="Candara" w:cs="Times New Roman"/>
      <w:color w:val="262626"/>
      <w:lang w:val="hu-H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hyperlink" Target="mailto:sajto@gki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C0A3E1844190A468B77A01BC3A6DAB3" ma:contentTypeVersion="15" ma:contentTypeDescription="Új dokumentum létrehozása." ma:contentTypeScope="" ma:versionID="49ed25090853a10cc4752114ab95c1ac">
  <xsd:schema xmlns:xsd="http://www.w3.org/2001/XMLSchema" xmlns:xs="http://www.w3.org/2001/XMLSchema" xmlns:p="http://schemas.microsoft.com/office/2006/metadata/properties" xmlns:ns2="10666daa-e0bf-4925-a751-6f2820e0b806" xmlns:ns3="8bee473e-5201-48d0-9b61-9e8bd9ad0ba9" targetNamespace="http://schemas.microsoft.com/office/2006/metadata/properties" ma:root="true" ma:fieldsID="338025cff795f4ca8de27622741cf84e" ns2:_="" ns3:_="">
    <xsd:import namespace="10666daa-e0bf-4925-a751-6f2820e0b806"/>
    <xsd:import namespace="8bee473e-5201-48d0-9b61-9e8bd9ad0b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666daa-e0bf-4925-a751-6f2820e0b8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Képcímkék" ma:readOnly="false" ma:fieldId="{5cf76f15-5ced-4ddc-b409-7134ff3c332f}" ma:taxonomyMulti="true" ma:sspId="28a12d96-b564-4ce9-ab0a-22e8d6ea5f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ee473e-5201-48d0-9b61-9e8bd9ad0ba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53607d7c-ef32-4524-84db-4a7d44f5ec3f}" ma:internalName="TaxCatchAll" ma:showField="CatchAllData" ma:web="8bee473e-5201-48d0-9b61-9e8bd9ad0b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0666daa-e0bf-4925-a751-6f2820e0b806">
      <Terms xmlns="http://schemas.microsoft.com/office/infopath/2007/PartnerControls"/>
    </lcf76f155ced4ddcb4097134ff3c332f>
    <TaxCatchAll xmlns="8bee473e-5201-48d0-9b61-9e8bd9ad0ba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804F96-D676-411E-AE43-723E972DBC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666daa-e0bf-4925-a751-6f2820e0b806"/>
    <ds:schemaRef ds:uri="8bee473e-5201-48d0-9b61-9e8bd9ad0b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76085E-4965-4133-9D44-9E1D3F2D924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5C26BA-8D47-47D6-87F7-934833481074}">
  <ds:schemaRefs>
    <ds:schemaRef ds:uri="http://schemas.microsoft.com/office/2006/metadata/properties"/>
    <ds:schemaRef ds:uri="http://schemas.microsoft.com/office/infopath/2007/PartnerControls"/>
    <ds:schemaRef ds:uri="10666daa-e0bf-4925-a751-6f2820e0b806"/>
    <ds:schemaRef ds:uri="8bee473e-5201-48d0-9b61-9e8bd9ad0ba9"/>
  </ds:schemaRefs>
</ds:datastoreItem>
</file>

<file path=customXml/itemProps4.xml><?xml version="1.0" encoding="utf-8"?>
<ds:datastoreItem xmlns:ds="http://schemas.openxmlformats.org/officeDocument/2006/customXml" ds:itemID="{ADFF4E80-59F5-4B52-9254-B3C9356239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1447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Gyorgy.Suha</dc:creator>
  <cp:lastModifiedBy>stix.erik</cp:lastModifiedBy>
  <cp:revision>2</cp:revision>
  <dcterms:created xsi:type="dcterms:W3CDTF">2026-03-24T13:16:00Z</dcterms:created>
  <dcterms:modified xsi:type="dcterms:W3CDTF">2026-03-24T13:16:00Z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0x0101004C0A3E1844190A468B77A01BC3A6DAB3</vt:lpwstr>
  </property>
  <property fmtid="{D5CDD505-2E9C-101B-9397-08002B2CF9AE}" pid="3" name="MediaServiceImageTags">
    <vt:lpwstr/>
  </property>
</Properties>
</file>